
<file path=[Content_Types].xml><?xml version="1.0" encoding="utf-8"?>
<Types xmlns="http://schemas.openxmlformats.org/package/2006/content-types">
  <Default Extension="emf" ContentType="image/x-emf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3519C">
      <w:pPr>
        <w:snapToGrid w:val="0"/>
        <w:spacing w:after="156" w:afterLines="5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sz w:val="28"/>
        </w:rPr>
        <w:t>Sustained Lithium Nitrate Release in Gel Polymer Electrolytes Enabled by Bulk Reservoir</w:t>
      </w:r>
    </w:p>
    <w:p w14:paraId="2CBDC2AC">
      <w:pPr>
        <w:snapToGrid w:val="0"/>
        <w:spacing w:after="160" w:line="360" w:lineRule="auto"/>
        <w:jc w:val="left"/>
        <w:rPr>
          <w:rFonts w:ascii="Times New Roman" w:hAnsi="Times New Roman" w:cs="Times New Roman"/>
          <w:i/>
          <w:iCs/>
          <w:sz w:val="22"/>
          <w:szCs w:val="24"/>
          <w:vertAlign w:val="superscript"/>
          <w14:ligatures w14:val="standardContextual"/>
        </w:rPr>
      </w:pPr>
      <w:r>
        <w:rPr>
          <w:rFonts w:hint="eastAsia" w:ascii="Times New Roman" w:hAnsi="Times New Roman" w:cs="Times New Roman"/>
          <w:i/>
          <w:iCs/>
          <w:sz w:val="22"/>
          <w:szCs w:val="24"/>
          <w14:ligatures w14:val="standardContextual"/>
        </w:rPr>
        <w:t>Xinyue</w:t>
      </w:r>
      <w:r>
        <w:rPr>
          <w:rFonts w:ascii="Times New Roman" w:hAnsi="Times New Roman" w:cs="Times New Roman"/>
          <w:i/>
          <w:iCs/>
          <w:sz w:val="22"/>
          <w:szCs w:val="24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4"/>
          <w14:ligatures w14:val="standardContextual"/>
        </w:rPr>
        <w:t>Zhao</w:t>
      </w:r>
      <w:r>
        <w:rPr>
          <w:rFonts w:ascii="Times New Roman" w:hAnsi="Times New Roman" w:cs="Times New Roman"/>
          <w:i/>
          <w:iCs/>
          <w:sz w:val="22"/>
          <w:szCs w:val="24"/>
          <w:vertAlign w:val="superscript"/>
          <w14:ligatures w14:val="standardContextual"/>
        </w:rPr>
        <w:t>a†</w:t>
      </w:r>
      <w:r>
        <w:rPr>
          <w:rFonts w:ascii="Times New Roman" w:hAnsi="Times New Roman" w:cs="Times New Roman"/>
          <w:i/>
          <w:iCs/>
          <w:sz w:val="22"/>
          <w:szCs w:val="24"/>
          <w14:ligatures w14:val="standardContextual"/>
        </w:rPr>
        <w:t>,</w:t>
      </w:r>
      <w:r>
        <w:rPr>
          <w:rFonts w:hint="eastAsia" w:ascii="Times New Roman" w:hAnsi="Times New Roman" w:cs="Times New Roman"/>
          <w:i/>
          <w:iCs/>
          <w:sz w:val="22"/>
          <w:szCs w:val="24"/>
          <w14:ligatures w14:val="standardContextual"/>
        </w:rPr>
        <w:t xml:space="preserve"> Yu Zhao</w:t>
      </w:r>
      <w:r>
        <w:rPr>
          <w:rFonts w:hint="eastAsia" w:ascii="Times New Roman" w:hAnsi="Times New Roman" w:cs="Times New Roman"/>
          <w:i/>
          <w:iCs/>
          <w:sz w:val="22"/>
          <w:szCs w:val="24"/>
          <w:vertAlign w:val="superscript"/>
          <w14:ligatures w14:val="standardContextual"/>
        </w:rPr>
        <w:t>b</w:t>
      </w:r>
      <w:r>
        <w:rPr>
          <w:rFonts w:ascii="Times New Roman" w:hAnsi="Times New Roman" w:cs="Times New Roman"/>
          <w:i/>
          <w:iCs/>
          <w:sz w:val="22"/>
          <w:szCs w:val="24"/>
          <w:vertAlign w:val="superscript"/>
          <w14:ligatures w14:val="standardContextual"/>
        </w:rPr>
        <w:t>†</w:t>
      </w:r>
      <w:r>
        <w:rPr>
          <w:rFonts w:hint="eastAsia" w:ascii="Times New Roman" w:hAnsi="Times New Roman" w:cs="Times New Roman"/>
          <w:i/>
          <w:iCs/>
          <w:sz w:val="22"/>
          <w:szCs w:val="24"/>
          <w14:ligatures w14:val="standardContextual"/>
        </w:rPr>
        <w:t>, Kanghou Ma</w:t>
      </w:r>
      <w:r>
        <w:rPr>
          <w:rFonts w:ascii="Times New Roman" w:hAnsi="Times New Roman" w:cs="Times New Roman"/>
          <w:i/>
          <w:iCs/>
          <w:sz w:val="22"/>
          <w:szCs w:val="24"/>
          <w:vertAlign w:val="superscript"/>
          <w14:ligatures w14:val="standardContextual"/>
        </w:rPr>
        <w:t>a</w:t>
      </w:r>
      <w:r>
        <w:rPr>
          <w:rFonts w:hint="eastAsia" w:ascii="Times New Roman" w:hAnsi="Times New Roman" w:cs="Times New Roman"/>
          <w:i/>
          <w:iCs/>
          <w:sz w:val="22"/>
          <w:szCs w:val="24"/>
          <w14:ligatures w14:val="standardContextual"/>
        </w:rPr>
        <w:t>, Jingyi Han</w:t>
      </w:r>
      <w:r>
        <w:rPr>
          <w:rFonts w:ascii="Times New Roman" w:hAnsi="Times New Roman" w:cs="Times New Roman"/>
          <w:i/>
          <w:iCs/>
          <w:sz w:val="22"/>
          <w:szCs w:val="24"/>
          <w:vertAlign w:val="superscript"/>
          <w14:ligatures w14:val="standardContextual"/>
        </w:rPr>
        <w:t>a</w:t>
      </w:r>
      <w:r>
        <w:rPr>
          <w:rFonts w:hint="eastAsia" w:ascii="Times New Roman" w:hAnsi="Times New Roman" w:cs="Times New Roman"/>
          <w:i/>
          <w:iCs/>
          <w:sz w:val="22"/>
          <w:szCs w:val="24"/>
          <w14:ligatures w14:val="standardContextual"/>
        </w:rPr>
        <w:t>, Ningning Wu</w:t>
      </w:r>
      <w:r>
        <w:rPr>
          <w:rFonts w:hint="eastAsia" w:ascii="Times New Roman" w:hAnsi="Times New Roman" w:cs="Times New Roman"/>
          <w:i/>
          <w:iCs/>
          <w:sz w:val="22"/>
          <w:szCs w:val="24"/>
          <w:vertAlign w:val="superscript"/>
          <w14:ligatures w14:val="standardContextual"/>
        </w:rPr>
        <w:t>c</w:t>
      </w:r>
      <w:r>
        <w:rPr>
          <w:rFonts w:hint="eastAsia" w:ascii="Times New Roman" w:hAnsi="Times New Roman" w:cs="Times New Roman"/>
          <w:i/>
          <w:iCs/>
          <w:sz w:val="22"/>
          <w:szCs w:val="24"/>
          <w14:ligatures w14:val="standardContextual"/>
        </w:rPr>
        <w:t>*, Yaohui</w:t>
      </w:r>
      <w:r>
        <w:rPr>
          <w:rFonts w:ascii="Times New Roman" w:hAnsi="Times New Roman" w:cs="Times New Roman"/>
          <w:i/>
          <w:iCs/>
          <w:sz w:val="22"/>
          <w:szCs w:val="24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4"/>
          <w14:ligatures w14:val="standardContextual"/>
        </w:rPr>
        <w:t>Zhang</w:t>
      </w:r>
      <w:r>
        <w:rPr>
          <w:rFonts w:ascii="Times New Roman" w:hAnsi="Times New Roman" w:cs="Times New Roman"/>
          <w:i/>
          <w:iCs/>
          <w:sz w:val="22"/>
          <w:szCs w:val="24"/>
          <w:vertAlign w:val="superscript"/>
          <w14:ligatures w14:val="standardContextual"/>
        </w:rPr>
        <w:t>a</w:t>
      </w:r>
      <w:r>
        <w:rPr>
          <w:rFonts w:ascii="Times New Roman" w:hAnsi="Times New Roman" w:cs="Times New Roman"/>
          <w:i/>
          <w:iCs/>
          <w:sz w:val="22"/>
          <w:szCs w:val="24"/>
          <w14:ligatures w14:val="standardContextual"/>
        </w:rPr>
        <w:t>*</w:t>
      </w:r>
    </w:p>
    <w:p w14:paraId="06E1F949">
      <w:pPr>
        <w:snapToGrid w:val="0"/>
        <w:spacing w:after="160" w:line="360" w:lineRule="auto"/>
        <w:jc w:val="left"/>
        <w:rPr>
          <w:rFonts w:ascii="Times New Roman" w:hAnsi="Times New Roman" w:cs="Times New Roman"/>
          <w:sz w:val="22"/>
          <w:szCs w:val="24"/>
          <w14:ligatures w14:val="standardContextual"/>
        </w:rPr>
      </w:pPr>
      <w:r>
        <w:rPr>
          <w:rFonts w:ascii="Times New Roman" w:hAnsi="Times New Roman" w:cs="Times New Roman"/>
          <w:sz w:val="22"/>
          <w:szCs w:val="24"/>
          <w:vertAlign w:val="superscript"/>
          <w14:ligatures w14:val="standardContextual"/>
        </w:rPr>
        <w:t>a</w:t>
      </w:r>
      <w:r>
        <w:rPr>
          <w:rFonts w:hint="eastAsia" w:ascii="Times New Roman" w:hAnsi="Times New Roman" w:cs="Times New Roman"/>
          <w:sz w:val="22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2"/>
          <w:szCs w:val="24"/>
          <w14:ligatures w14:val="standardContextual"/>
        </w:rPr>
        <w:t>School of Physics, Harbin Institute of Technology, Harbin, Heilongjiang, 150001, China</w:t>
      </w:r>
    </w:p>
    <w:p w14:paraId="26250CDC">
      <w:pPr>
        <w:snapToGrid w:val="0"/>
        <w:spacing w:after="160" w:line="360" w:lineRule="auto"/>
        <w:jc w:val="left"/>
        <w:rPr>
          <w:rFonts w:ascii="Times New Roman" w:hAnsi="Times New Roman" w:cs="Times New Roman"/>
          <w:sz w:val="22"/>
          <w:szCs w:val="24"/>
          <w14:ligatures w14:val="standardContextual"/>
        </w:rPr>
      </w:pPr>
      <w:r>
        <w:rPr>
          <w:rFonts w:ascii="Times New Roman" w:hAnsi="Times New Roman" w:cs="Times New Roman"/>
          <w:sz w:val="22"/>
          <w:szCs w:val="24"/>
          <w:vertAlign w:val="superscript"/>
          <w14:ligatures w14:val="standardContextual"/>
        </w:rPr>
        <w:t>b</w:t>
      </w:r>
      <w:r>
        <w:rPr>
          <w:rFonts w:hint="eastAsia" w:ascii="Times New Roman" w:hAnsi="Times New Roman" w:cs="Times New Roman"/>
          <w:sz w:val="22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2"/>
          <w:szCs w:val="24"/>
          <w14:ligatures w14:val="standardContextual"/>
        </w:rPr>
        <w:t xml:space="preserve">School of </w:t>
      </w:r>
      <w:r>
        <w:rPr>
          <w:rFonts w:hint="eastAsia" w:ascii="Times New Roman" w:hAnsi="Times New Roman" w:cs="Times New Roman"/>
          <w:sz w:val="22"/>
          <w:szCs w:val="24"/>
          <w14:ligatures w14:val="standardContextual"/>
        </w:rPr>
        <w:t>Chemistry</w:t>
      </w:r>
      <w:r>
        <w:rPr>
          <w:rFonts w:ascii="Times New Roman" w:hAnsi="Times New Roman" w:cs="Times New Roman"/>
          <w:sz w:val="22"/>
          <w:szCs w:val="24"/>
          <w14:ligatures w14:val="standardContextual"/>
        </w:rPr>
        <w:t>, Harbin Institute of Technology, Harbin, Heilongjiang, 150001, China</w:t>
      </w:r>
    </w:p>
    <w:p w14:paraId="766B1542">
      <w:pPr>
        <w:snapToGrid w:val="0"/>
        <w:spacing w:after="160" w:line="360" w:lineRule="auto"/>
        <w:jc w:val="left"/>
        <w:rPr>
          <w:rFonts w:ascii="Times New Roman" w:hAnsi="Times New Roman" w:cs="Times New Roman"/>
          <w:sz w:val="22"/>
          <w:szCs w:val="24"/>
          <w14:ligatures w14:val="standardContextual"/>
        </w:rPr>
      </w:pPr>
      <w:r>
        <w:rPr>
          <w:rFonts w:hint="eastAsia" w:ascii="Times New Roman" w:hAnsi="Times New Roman" w:cs="Times New Roman"/>
          <w:sz w:val="22"/>
          <w:szCs w:val="24"/>
          <w:vertAlign w:val="superscript"/>
          <w14:ligatures w14:val="standardContextual"/>
        </w:rPr>
        <w:t>c</w:t>
      </w:r>
      <w:r>
        <w:rPr>
          <w:rFonts w:hint="eastAsia" w:ascii="Times New Roman" w:hAnsi="Times New Roman" w:cs="Times New Roman"/>
          <w:sz w:val="22"/>
          <w:szCs w:val="24"/>
          <w14:ligatures w14:val="standardContextual"/>
        </w:rPr>
        <w:t xml:space="preserve"> School of Electrical Engineering, Hebei University of Technology, Tianjin, 300401, China</w:t>
      </w:r>
    </w:p>
    <w:p w14:paraId="051B6DCE">
      <w:pPr>
        <w:snapToGrid w:val="0"/>
        <w:spacing w:after="160" w:line="360" w:lineRule="auto"/>
        <w:jc w:val="left"/>
        <w:rPr>
          <w:rFonts w:ascii="Times New Roman" w:hAnsi="Times New Roman" w:cs="Times New Roman"/>
          <w:sz w:val="22"/>
          <w:szCs w:val="24"/>
          <w14:ligatures w14:val="standardContextual"/>
        </w:rPr>
      </w:pPr>
      <w:r>
        <w:rPr>
          <w:rFonts w:ascii="Times New Roman" w:hAnsi="Times New Roman" w:cs="Times New Roman"/>
          <w:sz w:val="22"/>
          <w:szCs w:val="24"/>
          <w14:ligatures w14:val="standardContextual"/>
        </w:rPr>
        <w:t>†These authors contributed equally to this work and share first authorship</w:t>
      </w:r>
    </w:p>
    <w:p w14:paraId="35885BAD">
      <w:pPr>
        <w:snapToGrid w:val="0"/>
        <w:spacing w:line="360" w:lineRule="auto"/>
        <w:rPr>
          <w:rFonts w:ascii="Times New Roman" w:hAnsi="Times New Roman" w:cs="Times New Roman"/>
          <w:sz w:val="22"/>
        </w:rPr>
      </w:pPr>
      <w:r>
        <w:rPr>
          <w:rFonts w:hint="eastAsia" w:ascii="Times New Roman" w:hAnsi="Times New Roman" w:cs="Times New Roman"/>
          <w:sz w:val="22"/>
          <w:szCs w:val="24"/>
          <w14:ligatures w14:val="standardContextual"/>
        </w:rPr>
        <w:t xml:space="preserve">*Corresponding authors. </w:t>
      </w:r>
      <w:r>
        <w:rPr>
          <w:rFonts w:ascii="Times New Roman" w:hAnsi="Times New Roman" w:cs="Times New Roman"/>
          <w:sz w:val="22"/>
          <w:szCs w:val="24"/>
          <w14:ligatures w14:val="standardContextual"/>
        </w:rPr>
        <w:t>E-mail address:</w:t>
      </w:r>
      <w:r>
        <w:rPr>
          <w:rFonts w:ascii="Times New Roman" w:hAnsi="Times New Roman" w:cs="Times New Roman"/>
          <w:sz w:val="22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hitcrazyzyh@hit.edu.cn, </w:t>
      </w:r>
      <w:r>
        <w:rPr>
          <w:rFonts w:ascii="Times New Roman" w:hAnsi="Times New Roman" w:cs="Times New Roman"/>
          <w:sz w:val="22"/>
          <w:u w:val="single"/>
        </w:rPr>
        <w:t>2024042@hebut.edu.cn</w:t>
      </w:r>
    </w:p>
    <w:p w14:paraId="090F0B75">
      <w:pPr>
        <w:snapToGrid w:val="0"/>
        <w:spacing w:after="160" w:line="360" w:lineRule="auto"/>
        <w:jc w:val="left"/>
        <w:rPr>
          <w:rFonts w:ascii="Times New Roman" w:hAnsi="Times New Roman" w:cs="Times New Roman"/>
        </w:rPr>
      </w:pPr>
    </w:p>
    <w:p w14:paraId="4DF463FC">
      <w:pPr>
        <w:pStyle w:val="11"/>
        <w:autoSpaceDE w:val="0"/>
        <w:autoSpaceDN w:val="0"/>
        <w:adjustRightInd w:val="0"/>
        <w:spacing w:line="480" w:lineRule="auto"/>
        <w:ind w:firstLine="0" w:firstLineChars="0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S</w:t>
      </w:r>
      <w:r>
        <w:rPr>
          <w:rFonts w:ascii="Times New Roman" w:hAnsi="Times New Roman"/>
          <w:b/>
          <w:sz w:val="24"/>
        </w:rPr>
        <w:t>upplementary Figures</w:t>
      </w:r>
    </w:p>
    <w:p w14:paraId="23FD5D81">
      <w:pPr>
        <w:spacing w:after="156" w:afterLines="50" w:line="360" w:lineRule="auto"/>
        <w:ind w:firstLine="440" w:firstLineChars="20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As shown in </w:t>
      </w:r>
      <w:r>
        <w:rPr>
          <w:rFonts w:ascii="Times New Roman" w:hAnsi="Times New Roman"/>
          <w:b/>
          <w:bCs/>
          <w:sz w:val="22"/>
        </w:rPr>
        <w:t>Figures S</w:t>
      </w:r>
      <w:r>
        <w:rPr>
          <w:rFonts w:hint="eastAsia" w:ascii="Times New Roman" w:hAnsi="Times New Roman"/>
          <w:b/>
          <w:bCs/>
          <w:sz w:val="22"/>
        </w:rPr>
        <w:t>1</w:t>
      </w:r>
      <w:r>
        <w:rPr>
          <w:rFonts w:ascii="Times New Roman" w:hAnsi="Times New Roman"/>
          <w:b/>
          <w:bCs/>
          <w:sz w:val="22"/>
        </w:rPr>
        <w:t xml:space="preserve"> and S</w:t>
      </w:r>
      <w:r>
        <w:rPr>
          <w:rFonts w:hint="eastAsia" w:ascii="Times New Roman" w:hAnsi="Times New Roman"/>
          <w:b/>
          <w:bCs/>
          <w:sz w:val="22"/>
        </w:rPr>
        <w:t>2</w:t>
      </w:r>
      <w:r>
        <w:rPr>
          <w:rFonts w:ascii="Times New Roman" w:hAnsi="Times New Roman"/>
          <w:sz w:val="22"/>
        </w:rPr>
        <w:t>, C-LiNO</w:t>
      </w:r>
      <w:r>
        <w:rPr>
          <w:rFonts w:hint="eastAsia" w:ascii="Times New Roman" w:hAnsi="Times New Roman"/>
          <w:sz w:val="22"/>
          <w:vertAlign w:val="subscript"/>
        </w:rPr>
        <w:t>3</w:t>
      </w:r>
      <w:r>
        <w:rPr>
          <w:rFonts w:ascii="Times New Roman" w:hAnsi="Times New Roman"/>
          <w:sz w:val="22"/>
        </w:rPr>
        <w:t>-10% GPE exhibits the best cycling performance among the samples with different LiNO</w:t>
      </w:r>
      <w:r>
        <w:rPr>
          <w:rFonts w:hint="eastAsia" w:ascii="Times New Roman" w:hAnsi="Times New Roman"/>
          <w:sz w:val="22"/>
          <w:vertAlign w:val="subscript"/>
        </w:rPr>
        <w:t>3</w:t>
      </w:r>
      <w:r>
        <w:rPr>
          <w:rFonts w:ascii="Times New Roman" w:hAnsi="Times New Roman"/>
          <w:sz w:val="22"/>
        </w:rPr>
        <w:t xml:space="preserve"> loadings. A lower loading provides insufficient interfacial regulation, whereas excessive LiNO</w:t>
      </w:r>
      <w:r>
        <w:rPr>
          <w:rFonts w:hint="eastAsia" w:ascii="Times New Roman" w:hAnsi="Times New Roman"/>
          <w:sz w:val="22"/>
          <w:vertAlign w:val="subscript"/>
        </w:rPr>
        <w:t>3</w:t>
      </w:r>
      <w:r>
        <w:rPr>
          <w:rFonts w:ascii="Times New Roman" w:hAnsi="Times New Roman"/>
          <w:sz w:val="22"/>
        </w:rPr>
        <w:t xml:space="preserve"> release may compromise membrane uniformity and ion transport; therefore, 10% was selected as the optimized loading for subsequent studies.</w:t>
      </w:r>
    </w:p>
    <w:p w14:paraId="0CE8EAD7">
      <w:pPr>
        <w:jc w:val="center"/>
      </w:pPr>
      <w:r>
        <w:pict>
          <v:shape id="_x0000_i1025" o:spt="75" type="#_x0000_t75" style="height:199.9pt;width:289.15pt;" filled="f" o:preferrelative="t" stroked="f" coordsize="21600,21600">
            <v:path/>
            <v:fill on="f" focussize="0,0"/>
            <v:stroke on="f" joinstyle="miter"/>
            <v:imagedata r:id="rId4" croptop="4151f" cropbottom="2259f" o:title=""/>
            <o:lock v:ext="edit" aspectratio="t"/>
            <w10:wrap type="none"/>
            <w10:anchorlock/>
          </v:shape>
        </w:pict>
      </w:r>
    </w:p>
    <w:p w14:paraId="5E85F5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</w:rPr>
        <w:t>S1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Cycling performance and Coulombic efficiency of LFP full cells using </w:t>
      </w:r>
      <w:r>
        <w:rPr>
          <w:rFonts w:hint="eastAsia" w:ascii="Times New Roman" w:hAnsi="Times New Roman" w:cs="Times New Roman"/>
        </w:rPr>
        <w:t>S-LiNO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and </w:t>
      </w:r>
      <w:r>
        <w:rPr>
          <w:rFonts w:hint="eastAsia" w:ascii="Times New Roman" w:hAnsi="Times New Roman" w:cs="Times New Roman"/>
        </w:rPr>
        <w:t>C-LiNO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GPEs with different 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contents at 1 C.</w:t>
      </w:r>
    </w:p>
    <w:p w14:paraId="1F4CFCFC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9C3F53E">
      <w:pPr>
        <w:jc w:val="center"/>
      </w:pPr>
      <w:r>
        <w:pict>
          <v:shape id="_x0000_i1026" o:spt="75" type="#_x0000_t75" style="height:186pt;width:226.15pt;" filled="f" o:preferrelative="t" stroked="f" coordsize="21600,21600">
            <v:path/>
            <v:fill on="f" focussize="0,0"/>
            <v:stroke on="f" joinstyle="miter"/>
            <v:imagedata r:id="rId5" cropleft="2088f" croptop="4049f" cropright="7946f" cropbottom="1991f" o:title=""/>
            <o:lock v:ext="edit" aspectratio="t"/>
            <w10:wrap type="none"/>
            <w10:anchorlock/>
          </v:shape>
        </w:pict>
      </w:r>
    </w:p>
    <w:p w14:paraId="02E74C03">
      <w:pPr>
        <w:jc w:val="center"/>
        <w:rPr>
          <w:rFonts w:ascii="Times New Roman" w:hAnsi="Times New Roman"/>
        </w:rPr>
      </w:pPr>
      <w:r>
        <w:rPr>
          <w:rFonts w:hint="eastAsia" w:ascii="Times New Roman" w:hAnsi="Times New Roman"/>
          <w:b/>
          <w:bCs/>
        </w:rPr>
        <w:t>Figure S2.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 w:cs="Times New Roman"/>
          <w:vertAlign w:val="superscript"/>
        </w:rPr>
        <w:t>−</w:t>
      </w:r>
      <w:r>
        <w:rPr>
          <w:rFonts w:ascii="Times New Roman" w:hAnsi="Times New Roman"/>
        </w:rPr>
        <w:t xml:space="preserve"> concentration </w:t>
      </w:r>
      <w:r>
        <w:rPr>
          <w:rFonts w:hint="eastAsia" w:ascii="Times New Roman" w:hAnsi="Times New Roman"/>
        </w:rPr>
        <w:t xml:space="preserve">changes </w:t>
      </w:r>
      <w:r>
        <w:rPr>
          <w:rFonts w:ascii="Times New Roman" w:hAnsi="Times New Roman"/>
        </w:rPr>
        <w:t xml:space="preserve">in ester-based electrolyte after repeated soaking (6 h each) </w:t>
      </w:r>
      <w:r>
        <w:rPr>
          <w:rFonts w:hint="eastAsia" w:ascii="Times New Roman" w:hAnsi="Times New Roman"/>
        </w:rPr>
        <w:t>for</w:t>
      </w:r>
      <w:r>
        <w:rPr>
          <w:rFonts w:ascii="Times New Roman" w:hAnsi="Times New Roman"/>
        </w:rPr>
        <w:t xml:space="preserve"> C-LiNO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-5%</w:t>
      </w:r>
      <w:r>
        <w:rPr>
          <w:rFonts w:hint="eastAsia" w:ascii="Times New Roman" w:hAnsi="Times New Roman"/>
        </w:rPr>
        <w:t xml:space="preserve">, </w:t>
      </w:r>
      <w:r>
        <w:rPr>
          <w:rFonts w:ascii="Times New Roman" w:hAnsi="Times New Roman"/>
        </w:rPr>
        <w:t>C-LiNO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-</w:t>
      </w:r>
      <w:r>
        <w:rPr>
          <w:rFonts w:hint="eastAsia" w:ascii="Times New Roman" w:hAnsi="Times New Roman"/>
        </w:rPr>
        <w:t>10</w:t>
      </w:r>
      <w:r>
        <w:rPr>
          <w:rFonts w:ascii="Times New Roman" w:hAnsi="Times New Roman"/>
        </w:rPr>
        <w:t>% and C-LiNO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-</w:t>
      </w:r>
      <w:r>
        <w:rPr>
          <w:rFonts w:hint="eastAsia" w:ascii="Times New Roman" w:hAnsi="Times New Roman"/>
        </w:rPr>
        <w:t>15</w:t>
      </w:r>
      <w:r>
        <w:rPr>
          <w:rFonts w:ascii="Times New Roman" w:hAnsi="Times New Roman"/>
        </w:rPr>
        <w:t>%</w:t>
      </w:r>
      <w:r>
        <w:rPr>
          <w:rFonts w:hint="eastAsia" w:ascii="Times New Roman" w:hAnsi="Times New Roman"/>
        </w:rPr>
        <w:t xml:space="preserve"> GPE.</w:t>
      </w:r>
    </w:p>
    <w:p w14:paraId="0550E424">
      <w:pPr>
        <w:widowControl/>
        <w:jc w:val="left"/>
        <w:rPr>
          <w:rFonts w:ascii="Times New Roman" w:hAnsi="Times New Roman" w:eastAsia="宋体" w:cs="Times New Roman"/>
          <w:b/>
          <w:sz w:val="24"/>
          <w:szCs w:val="24"/>
        </w:rPr>
      </w:pPr>
    </w:p>
    <w:p w14:paraId="33AC9895">
      <w:pPr>
        <w:pStyle w:val="11"/>
        <w:autoSpaceDE w:val="0"/>
        <w:autoSpaceDN w:val="0"/>
        <w:adjustRightInd w:val="0"/>
        <w:snapToGrid w:val="0"/>
        <w:spacing w:before="312" w:beforeLines="100" w:line="480" w:lineRule="auto"/>
        <w:ind w:firstLine="0" w:firstLineChars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drawing>
          <wp:inline distT="0" distB="0" distL="0" distR="0">
            <wp:extent cx="5274310" cy="2243455"/>
            <wp:effectExtent l="0" t="0" r="2540" b="4445"/>
            <wp:docPr id="1213927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927998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66464">
      <w:pPr>
        <w:snapToGrid w:val="0"/>
        <w:spacing w:after="240" w:line="360" w:lineRule="auto"/>
        <w:jc w:val="center"/>
        <w:rPr>
          <w:rFonts w:ascii="Times New Roman" w:hAnsi="Times New Roman" w:cs="Times New Roman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szCs w:val="24"/>
          <w14:ligatures w14:val="standardContextual"/>
        </w:rPr>
        <w:t>Figure S</w:t>
      </w:r>
      <w:r>
        <w:rPr>
          <w:rFonts w:hint="eastAsia" w:ascii="Times New Roman" w:hAnsi="Times New Roman" w:cs="Times New Roman"/>
          <w:b/>
          <w:bCs/>
          <w:szCs w:val="24"/>
          <w14:ligatures w14:val="standardContextual"/>
        </w:rPr>
        <w:t>3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. </w:t>
      </w:r>
      <w:r>
        <w:rPr>
          <w:rFonts w:hint="eastAsia" w:ascii="Times New Roman" w:hAnsi="Times New Roman" w:cs="Times New Roman"/>
          <w:szCs w:val="24"/>
          <w14:ligatures w14:val="standardContextual"/>
        </w:rPr>
        <w:t>Cross-sectional EDS mapping of a) S-LiNO</w:t>
      </w:r>
      <w:r>
        <w:rPr>
          <w:rFonts w:hint="eastAsia" w:ascii="Times New Roman" w:hAnsi="Times New Roman"/>
          <w:sz w:val="22"/>
          <w:szCs w:val="24"/>
          <w:vertAlign w:val="subscript"/>
          <w14:ligatures w14:val="standardContextual"/>
        </w:rPr>
        <w:t>3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 and b) C-LiNO</w:t>
      </w:r>
      <w:r>
        <w:rPr>
          <w:rFonts w:hint="eastAsia" w:ascii="Times New Roman" w:hAnsi="Times New Roman"/>
          <w:sz w:val="22"/>
          <w:szCs w:val="24"/>
          <w:vertAlign w:val="subscript"/>
          <w14:ligatures w14:val="standardContextual"/>
        </w:rPr>
        <w:t>3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 GPEs.</w:t>
      </w:r>
    </w:p>
    <w:p w14:paraId="0FFEFDC3">
      <w:pPr>
        <w:widowControl/>
        <w:jc w:val="left"/>
        <w:rPr>
          <w:rFonts w:ascii="Times New Roman" w:hAnsi="Times New Roman" w:cs="Times New Roman"/>
          <w:szCs w:val="24"/>
          <w14:ligatures w14:val="standardContextual"/>
        </w:rPr>
      </w:pPr>
    </w:p>
    <w:p w14:paraId="5813842B">
      <w:pPr>
        <w:jc w:val="center"/>
      </w:pPr>
      <w:r>
        <w:drawing>
          <wp:inline distT="0" distB="0" distL="0" distR="0">
            <wp:extent cx="2878455" cy="2700020"/>
            <wp:effectExtent l="0" t="0" r="0" b="0"/>
            <wp:docPr id="79829538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95381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4" t="3607" r="1138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701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BAF3A">
      <w:pPr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</w:rPr>
        <w:t>S4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DSC comparison of </w:t>
      </w:r>
      <w:r>
        <w:rPr>
          <w:rFonts w:ascii="Times New Roman" w:hAnsi="Times New Roman"/>
        </w:rPr>
        <w:t>Bare GPE, S-LiNO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GPE, and C-LiNO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GPE</w:t>
      </w:r>
      <w:r>
        <w:rPr>
          <w:rFonts w:hint="eastAsia" w:ascii="Times New Roman" w:hAnsi="Times New Roman"/>
        </w:rPr>
        <w:t>.</w:t>
      </w:r>
    </w:p>
    <w:p w14:paraId="0B373F55">
      <w:pPr>
        <w:spacing w:before="156" w:beforeLines="50"/>
        <w:jc w:val="center"/>
        <w:rPr>
          <w:rFonts w:ascii="Times New Roman" w:hAnsi="Times New Roman"/>
          <w:bCs/>
        </w:rPr>
      </w:pPr>
      <w:r>
        <w:rPr>
          <w:rFonts w:hint="eastAsia" w:ascii="Times New Roman" w:hAnsi="Times New Roman"/>
          <w:b/>
        </w:rPr>
        <w:t>Table</w:t>
      </w:r>
      <w:r>
        <w:rPr>
          <w:rFonts w:ascii="Times New Roman" w:hAnsi="Times New Roman"/>
          <w:b/>
        </w:rPr>
        <w:t xml:space="preserve"> </w:t>
      </w:r>
      <w:r>
        <w:rPr>
          <w:rFonts w:hint="eastAsia" w:ascii="Times New Roman" w:hAnsi="Times New Roman"/>
          <w:b/>
        </w:rPr>
        <w:t>S1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Cs/>
        </w:rPr>
        <w:t xml:space="preserve"> </w:t>
      </w:r>
      <w:r>
        <w:rPr>
          <w:rFonts w:hint="eastAsia" w:ascii="Times New Roman" w:hAnsi="Times New Roman"/>
          <w:bCs/>
        </w:rPr>
        <w:t>The calculation results of the crystallinity of GPEs in DSC.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8"/>
        <w:gridCol w:w="4843"/>
      </w:tblGrid>
      <w:tr w14:paraId="6DD5CC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138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1854411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GPE</w:t>
            </w:r>
          </w:p>
        </w:tc>
        <w:tc>
          <w:tcPr>
            <w:tcW w:w="484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091361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Crystallinity (%)</w:t>
            </w:r>
          </w:p>
        </w:tc>
      </w:tr>
      <w:tr w14:paraId="205DA3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E180B0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B6B59B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DSC</w:t>
            </w:r>
          </w:p>
        </w:tc>
      </w:tr>
      <w:tr w14:paraId="56D4D9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13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434FFCA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Bare GPE</w:t>
            </w:r>
          </w:p>
        </w:tc>
        <w:tc>
          <w:tcPr>
            <w:tcW w:w="484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E9B4C8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52.48</w:t>
            </w:r>
          </w:p>
        </w:tc>
      </w:tr>
      <w:tr w14:paraId="4CB68D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14:paraId="3EB81F33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S-LiNO</w:t>
            </w:r>
            <w:r>
              <w:rPr>
                <w:rFonts w:hint="eastAsia" w:ascii="Times New Roman" w:hAnsi="Times New Roman"/>
                <w:bCs/>
                <w:vertAlign w:val="subscript"/>
              </w:rPr>
              <w:t>3</w:t>
            </w:r>
            <w:r>
              <w:rPr>
                <w:rFonts w:hint="eastAsia" w:ascii="Times New Roman" w:hAnsi="Times New Roman"/>
                <w:bCs/>
              </w:rPr>
              <w:t xml:space="preserve"> GPE</w:t>
            </w:r>
          </w:p>
        </w:tc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14:paraId="3891CEC8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48.91</w:t>
            </w:r>
          </w:p>
        </w:tc>
      </w:tr>
      <w:tr w14:paraId="415695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13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265D01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C-LiNO</w:t>
            </w:r>
            <w:r>
              <w:rPr>
                <w:rFonts w:hint="eastAsia" w:ascii="Times New Roman" w:hAnsi="Times New Roman"/>
                <w:bCs/>
                <w:vertAlign w:val="subscript"/>
              </w:rPr>
              <w:t>3</w:t>
            </w:r>
            <w:r>
              <w:rPr>
                <w:rFonts w:hint="eastAsia" w:ascii="Times New Roman" w:hAnsi="Times New Roman"/>
                <w:bCs/>
              </w:rPr>
              <w:t xml:space="preserve"> GPE</w:t>
            </w:r>
          </w:p>
        </w:tc>
        <w:tc>
          <w:tcPr>
            <w:tcW w:w="484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66ED86B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43.55</w:t>
            </w:r>
          </w:p>
        </w:tc>
      </w:tr>
    </w:tbl>
    <w:p w14:paraId="6614E23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pict>
          <v:shape id="_x0000_i1027" o:spt="75" type="#_x0000_t75" style="height:219pt;width:233.25pt;" filled="f" o:preferrelative="t" stroked="f" coordsize="21600,21600">
            <v:path/>
            <v:fill on="f" focussize="0,0"/>
            <v:stroke on="f" joinstyle="miter"/>
            <v:imagedata r:id="rId8" cropleft="3969f" croptop="1272f" cropright="7580f" cropbottom="1461f" o:title=""/>
            <o:lock v:ext="edit" aspectratio="t"/>
            <w10:wrap type="none"/>
            <w10:anchorlock/>
          </v:shape>
        </w:pict>
      </w:r>
    </w:p>
    <w:p w14:paraId="17F36C17">
      <w:pPr>
        <w:jc w:val="center"/>
        <w:rPr>
          <w:rFonts w:ascii="Times New Roman" w:hAnsi="Times New Roman" w:cs="Times New Roman"/>
          <w:bCs/>
        </w:rPr>
      </w:pPr>
      <w:r>
        <w:rPr>
          <w:rFonts w:hint="eastAsia" w:ascii="Times New Roman" w:hAnsi="Times New Roman" w:cs="Times New Roman"/>
          <w:b/>
        </w:rPr>
        <w:t>Figure S5.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Tensile stress</w:t>
      </w:r>
      <w:r>
        <w:rPr>
          <w:rFonts w:hint="eastAsia"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strain curves of Bare GPE, S-LiNO</w:t>
      </w:r>
      <w:r>
        <w:rPr>
          <w:rFonts w:hint="eastAsia" w:ascii="Times New Roman" w:hAnsi="Times New Roman" w:cs="Times New Roman"/>
          <w:bCs/>
          <w:vertAlign w:val="subscript"/>
        </w:rPr>
        <w:t>3</w:t>
      </w:r>
      <w:r>
        <w:rPr>
          <w:rFonts w:ascii="Times New Roman" w:hAnsi="Times New Roman" w:cs="Times New Roman"/>
          <w:bCs/>
        </w:rPr>
        <w:t xml:space="preserve"> GPE, and C-LiNO</w:t>
      </w:r>
      <w:r>
        <w:rPr>
          <w:rFonts w:hint="eastAsia" w:ascii="Times New Roman" w:hAnsi="Times New Roman" w:cs="Times New Roman"/>
          <w:bCs/>
          <w:vertAlign w:val="subscript"/>
        </w:rPr>
        <w:t>3</w:t>
      </w:r>
      <w:r>
        <w:rPr>
          <w:rFonts w:ascii="Times New Roman" w:hAnsi="Times New Roman" w:cs="Times New Roman"/>
          <w:bCs/>
        </w:rPr>
        <w:t xml:space="preserve"> GPE</w:t>
      </w:r>
      <w:r>
        <w:rPr>
          <w:rFonts w:hint="eastAsia" w:ascii="Times New Roman" w:hAnsi="Times New Roman" w:cs="Times New Roman"/>
          <w:bCs/>
        </w:rPr>
        <w:t>.</w:t>
      </w:r>
    </w:p>
    <w:p w14:paraId="13155F4C">
      <w:pPr>
        <w:jc w:val="center"/>
      </w:pPr>
      <w:r>
        <w:pict>
          <v:shape id="_x0000_i1028" o:spt="75" type="#_x0000_t75" style="height:184.5pt;width:218.25pt;" filled="f" o:preferrelative="t" stroked="f" coordsize="21600,21600">
            <v:path/>
            <v:fill on="f" focussize="0,0"/>
            <v:stroke on="f" joinstyle="miter"/>
            <v:imagedata r:id="rId9" cropleft="2058f" croptop="3879f" cropright="7407f" o:title=""/>
            <o:lock v:ext="edit" aspectratio="t"/>
            <w10:wrap type="none"/>
            <w10:anchorlock/>
          </v:shape>
        </w:pict>
      </w:r>
    </w:p>
    <w:p w14:paraId="35F5AB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</w:rPr>
        <w:t>S6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orresponding Arrhenius plots of the Bare, S-LiNO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, and C-LiNO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GPEs.</w:t>
      </w:r>
    </w:p>
    <w:p w14:paraId="23093154">
      <w:pPr>
        <w:widowControl/>
        <w:jc w:val="left"/>
        <w:rPr>
          <w:rFonts w:ascii="Times New Roman" w:hAnsi="Times New Roman" w:cs="Times New Roman"/>
        </w:rPr>
      </w:pPr>
    </w:p>
    <w:p w14:paraId="0FB378E6">
      <w:pPr>
        <w:spacing w:before="156" w:beforeLines="50" w:after="156" w:afterLines="5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Table </w:t>
      </w:r>
      <w:r>
        <w:rPr>
          <w:rFonts w:hint="eastAsia" w:ascii="Times New Roman" w:hAnsi="Times New Roman"/>
          <w:b/>
          <w:bCs/>
        </w:rPr>
        <w:t>S2</w:t>
      </w:r>
      <w:r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</w:rPr>
        <w:t xml:space="preserve"> Temperature-dependent ionic conductivities of the Bare, S-LiNO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, and C-LiNO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GPEs.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653"/>
        <w:gridCol w:w="1638"/>
        <w:gridCol w:w="1669"/>
        <w:gridCol w:w="2288"/>
      </w:tblGrid>
      <w:tr w14:paraId="4669CC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9E7E9A9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Temperature</w:t>
            </w:r>
          </w:p>
          <w:p w14:paraId="50FBFEF7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(℃)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E712C42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1000/T</w:t>
            </w:r>
          </w:p>
          <w:p w14:paraId="06BBDAB7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(</w:t>
            </w:r>
            <w:r>
              <w:rPr>
                <w:rFonts w:ascii="Times New Roman" w:hAnsi="Times New Roman" w:cs="Times New Roman"/>
                <w:bCs/>
                <w:szCs w:val="21"/>
              </w:rPr>
              <w:t>K⁻</w:t>
            </w:r>
            <w:r>
              <w:rPr>
                <w:rFonts w:hint="eastAsia" w:ascii="Times New Roman" w:hAnsi="Times New Roman" w:cs="Times New Roman"/>
                <w:bCs/>
                <w:szCs w:val="21"/>
                <w:vertAlign w:val="superscript"/>
              </w:rPr>
              <w:t>1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)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FC23FF9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Bare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A1D14B8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S-LiNO</w:t>
            </w:r>
            <w:r>
              <w:rPr>
                <w:rFonts w:hint="eastAsia" w:ascii="Times New Roman" w:hAnsi="Times New Roman" w:cs="Times New Roman"/>
                <w:bCs/>
                <w:szCs w:val="21"/>
                <w:vertAlign w:val="subscript"/>
              </w:rPr>
              <w:t>3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8B081A1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C-LiNO</w:t>
            </w:r>
            <w:r>
              <w:rPr>
                <w:rFonts w:hint="eastAsia" w:ascii="Times New Roman" w:hAnsi="Times New Roman" w:cs="Times New Roman"/>
                <w:bCs/>
                <w:szCs w:val="21"/>
                <w:vertAlign w:val="subscript"/>
              </w:rPr>
              <w:t>3</w:t>
            </w:r>
          </w:p>
        </w:tc>
      </w:tr>
      <w:tr w14:paraId="230638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3D5B5F0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8B1A7AF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3.2987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27AA2D6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0.829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5C5E9C5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0.914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4A6187C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1.110</w:t>
            </w:r>
          </w:p>
        </w:tc>
      </w:tr>
      <w:tr w14:paraId="28202F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14:paraId="40BDA561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467E47B7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3.1934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75920A46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0.970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7EA1149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1.080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</w:tcPr>
          <w:p w14:paraId="04A0CE8A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1.340</w:t>
            </w:r>
          </w:p>
        </w:tc>
      </w:tr>
      <w:tr w14:paraId="226B75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14:paraId="75C03BD3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6AC40E9A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3.0945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7E711B02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1.110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54261F99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1.290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</w:tcPr>
          <w:p w14:paraId="559724C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1.490</w:t>
            </w:r>
          </w:p>
        </w:tc>
      </w:tr>
      <w:tr w14:paraId="331921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14:paraId="0F831130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32371716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3.0017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067D66C3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1.180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13DBEA0F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1.430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</w:tcPr>
          <w:p w14:paraId="76AF0329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1.640</w:t>
            </w:r>
          </w:p>
        </w:tc>
      </w:tr>
      <w:tr w14:paraId="3501BF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661B6B2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4EBB2C1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2.9142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2135774C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1.280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B2E68A4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1.630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E7120BC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1.800</w:t>
            </w:r>
          </w:p>
        </w:tc>
      </w:tr>
    </w:tbl>
    <w:p w14:paraId="5CF739B8">
      <w:pPr>
        <w:spacing w:before="156" w:beforeLines="50" w:after="156" w:afterLines="50"/>
        <w:jc w:val="center"/>
        <w:rPr>
          <w:rFonts w:ascii="Times New Roman" w:hAnsi="Times New Roman"/>
          <w:b/>
        </w:rPr>
      </w:pPr>
    </w:p>
    <w:p w14:paraId="21878586">
      <w:pPr>
        <w:spacing w:before="156" w:beforeLines="50" w:after="156" w:afterLines="50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Table </w:t>
      </w:r>
      <w:r>
        <w:rPr>
          <w:rFonts w:hint="eastAsia" w:ascii="Times New Roman" w:hAnsi="Times New Roman"/>
          <w:b/>
        </w:rPr>
        <w:t>S3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Cs/>
        </w:rPr>
        <w:t xml:space="preserve"> Ionic conductivity at 30°C, Li⁺ transference number, apparent activation energy, and fitting coefficient of different GPEs.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1658"/>
        <w:gridCol w:w="1647"/>
        <w:gridCol w:w="1664"/>
        <w:gridCol w:w="2296"/>
      </w:tblGrid>
      <w:tr w14:paraId="203A99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71A1868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GPE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F2731FF">
            <w:pPr>
              <w:jc w:val="center"/>
              <w:rPr>
                <w:rFonts w:ascii="Times New Roman" w:hAnsi="Times New Roman" w:cs="Times New Roman"/>
                <w:bCs/>
                <w:szCs w:val="21"/>
                <w:vertAlign w:val="subscript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σ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30℃</w:t>
            </w:r>
          </w:p>
          <w:p w14:paraId="4DB5EE7C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(</w:t>
            </w:r>
            <w:r>
              <w:rPr>
                <w:rFonts w:ascii="Times New Roman" w:hAnsi="Times New Roman" w:cs="Times New Roman"/>
                <w:bCs/>
                <w:szCs w:val="21"/>
              </w:rPr>
              <w:t>10</w:t>
            </w:r>
            <w:r>
              <w:rPr>
                <w:rFonts w:ascii="Times New Roman" w:hAnsi="Times New Roman" w:cs="Times New Roman"/>
                <w:bCs/>
                <w:szCs w:val="21"/>
                <w:vertAlign w:val="superscript"/>
              </w:rPr>
              <w:t>−3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S cm⁻</w:t>
            </w:r>
            <w:r>
              <w:rPr>
                <w:rFonts w:hint="eastAsia" w:ascii="Times New Roman" w:hAnsi="Times New Roman" w:cs="Times New Roman"/>
                <w:bCs/>
                <w:szCs w:val="21"/>
                <w:vertAlign w:val="superscript"/>
              </w:rPr>
              <w:t>1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)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78AE5C9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bCs/>
                <w:szCs w:val="21"/>
                <w:vertAlign w:val="subscript"/>
              </w:rPr>
              <w:t>Li</w:t>
            </w:r>
            <w:r>
              <w:rPr>
                <w:rFonts w:hint="eastAsia" w:ascii="Times New Roman" w:hAnsi="Times New Roman" w:cs="Times New Roman"/>
                <w:bCs/>
                <w:szCs w:val="21"/>
                <w:vertAlign w:val="superscript"/>
              </w:rPr>
              <w:t>+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69E2897">
            <w:pPr>
              <w:jc w:val="center"/>
              <w:rPr>
                <w:rFonts w:ascii="Times New Roman" w:hAnsi="Times New Roman" w:cs="Times New Roman"/>
                <w:bCs/>
                <w:szCs w:val="21"/>
                <w:vertAlign w:val="subscript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a</w:t>
            </w:r>
          </w:p>
          <w:p w14:paraId="7C87D0CA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(</w:t>
            </w:r>
            <w:r>
              <w:rPr>
                <w:rFonts w:ascii="Times New Roman" w:hAnsi="Times New Roman" w:cs="Times New Roman"/>
                <w:bCs/>
                <w:szCs w:val="21"/>
              </w:rPr>
              <w:t>kJ mol⁻</w:t>
            </w:r>
            <w:r>
              <w:rPr>
                <w:rFonts w:hint="eastAsia" w:ascii="Times New Roman" w:hAnsi="Times New Roman" w:cs="Times New Roman"/>
                <w:bCs/>
                <w:szCs w:val="21"/>
                <w:vertAlign w:val="superscript"/>
              </w:rPr>
              <w:t>1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)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161CE79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bCs/>
                <w:szCs w:val="21"/>
                <w:vertAlign w:val="superscript"/>
              </w:rPr>
              <w:t>2</w:t>
            </w:r>
          </w:p>
        </w:tc>
      </w:tr>
      <w:tr w14:paraId="55EF80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031DB20A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Bare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543DFC5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0.829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37EC5841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31</w:t>
            </w:r>
          </w:p>
        </w:tc>
        <w:tc>
          <w:tcPr>
            <w:tcW w:w="176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010299FC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9.56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BDA049A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9765</w:t>
            </w:r>
          </w:p>
        </w:tc>
      </w:tr>
      <w:tr w14:paraId="639721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14:paraId="602783DF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S-LiNO</w:t>
            </w:r>
            <w:r>
              <w:rPr>
                <w:rFonts w:hint="eastAsia" w:ascii="Times New Roman" w:hAnsi="Times New Roman" w:cs="Times New Roman"/>
                <w:szCs w:val="21"/>
                <w:vertAlign w:val="subscript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66FAEFD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0.914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43D08956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0.56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32318DD9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12.46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</w:tcPr>
          <w:p w14:paraId="321B7CFF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0.9950</w:t>
            </w:r>
          </w:p>
        </w:tc>
      </w:tr>
      <w:tr w14:paraId="7A3539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9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37E15DD8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C-LiNO</w:t>
            </w:r>
            <w:r>
              <w:rPr>
                <w:rFonts w:hint="eastAsia" w:ascii="Times New Roman" w:hAnsi="Times New Roman" w:cs="Times New Roman"/>
                <w:szCs w:val="21"/>
                <w:vertAlign w:val="subscript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BDA09C6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1.110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6B5D6C2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0.62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8FCA48C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10.06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2F41610F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0.9838</w:t>
            </w:r>
          </w:p>
        </w:tc>
      </w:tr>
    </w:tbl>
    <w:p w14:paraId="3D396424">
      <w:pPr>
        <w:widowControl/>
        <w:jc w:val="left"/>
        <w:rPr>
          <w:rFonts w:ascii="Times New Roman" w:hAnsi="Times New Roman" w:cs="Times New Roman"/>
          <w:bCs/>
        </w:rPr>
      </w:pPr>
    </w:p>
    <w:p w14:paraId="5E2BCE6B">
      <w:pPr>
        <w:widowControl/>
        <w:jc w:val="left"/>
        <w:rPr>
          <w:rFonts w:ascii="Times New Roman" w:hAnsi="Times New Roman" w:cs="Times New Roman"/>
          <w:bCs/>
        </w:rPr>
      </w:pPr>
    </w:p>
    <w:p w14:paraId="3B5EA53E">
      <w:pPr>
        <w:jc w:val="center"/>
      </w:pPr>
      <w:r>
        <w:pict>
          <v:shape id="_x0000_i1029" o:spt="75" type="#_x0000_t75" style="height:140.65pt;width:342.75pt;" filled="f" o:preferrelative="t" stroked="f" coordsize="21600,21600">
            <v:path/>
            <v:fill on="f" focussize="0,0"/>
            <v:stroke on="f" joinstyle="miter"/>
            <v:imagedata r:id="rId10" cropleft="2025f" croptop="3817f" cropright="5713f" cropbottom="27970f" o:title=""/>
            <o:lock v:ext="edit" aspectratio="t"/>
            <w10:wrap type="none"/>
            <w10:anchorlock/>
          </v:shape>
        </w:pict>
      </w:r>
    </w:p>
    <w:p w14:paraId="32FF92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</w:rPr>
        <w:t>S7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MSD curves and diffusion coefficients of </w:t>
      </w:r>
      <w:r>
        <w:rPr>
          <w:rFonts w:hint="eastAsia" w:ascii="Times New Roman" w:hAnsi="Times New Roman" w:cs="Times New Roman"/>
        </w:rPr>
        <w:t xml:space="preserve">a) </w:t>
      </w:r>
      <w:r>
        <w:rPr>
          <w:rFonts w:ascii="Times New Roman" w:hAnsi="Times New Roman" w:cs="Times New Roman"/>
        </w:rPr>
        <w:t>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  <w:vertAlign w:val="superscript"/>
        </w:rPr>
        <w:t>−</w:t>
      </w:r>
      <w:r>
        <w:rPr>
          <w:rFonts w:ascii="Times New Roman" w:hAnsi="Times New Roman" w:cs="Times New Roman"/>
        </w:rPr>
        <w:t xml:space="preserve"> and </w:t>
      </w:r>
      <w:r>
        <w:rPr>
          <w:rFonts w:hint="eastAsia" w:ascii="Times New Roman" w:hAnsi="Times New Roman" w:cs="Times New Roman"/>
        </w:rPr>
        <w:t xml:space="preserve">b) </w:t>
      </w:r>
      <w:r>
        <w:rPr>
          <w:rFonts w:ascii="Times New Roman" w:hAnsi="Times New Roman" w:cs="Times New Roman"/>
        </w:rPr>
        <w:t>Li</w:t>
      </w:r>
      <w:r>
        <w:rPr>
          <w:rFonts w:hint="eastAsia"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in S-LiNO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and C-LiNO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GPEs.</w:t>
      </w:r>
    </w:p>
    <w:p w14:paraId="11D20A4B">
      <w:pPr>
        <w:widowControl/>
        <w:jc w:val="left"/>
        <w:rPr>
          <w:rFonts w:ascii="Times New Roman" w:hAnsi="Times New Roman" w:cs="Times New Roman"/>
        </w:rPr>
      </w:pPr>
    </w:p>
    <w:p w14:paraId="0958ABC2">
      <w:pPr>
        <w:jc w:val="center"/>
      </w:pPr>
      <w:r>
        <w:pict>
          <v:shape id="_x0000_i1030" o:spt="75" type="#_x0000_t75" style="height:138.75pt;width:352.5pt;" filled="f" o:preferrelative="t" stroked="f" coordsize="21600,21600">
            <v:path/>
            <v:fill on="f" focussize="0,0"/>
            <v:stroke on="f" joinstyle="miter"/>
            <v:imagedata r:id="rId11" cropleft="2312f" croptop="3395f" cropright="3840f" cropbottom="28692f" o:title=""/>
            <o:lock v:ext="edit" aspectratio="t"/>
            <w10:wrap type="none"/>
            <w10:anchorlock/>
          </v:shape>
        </w:pict>
      </w:r>
    </w:p>
    <w:p w14:paraId="39115FB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</w:rPr>
        <w:t>S8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RDF profiles and coordination numbers of Li</w:t>
      </w:r>
      <w:r>
        <w:rPr>
          <w:rFonts w:hint="eastAsia"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with 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  <w:vertAlign w:val="superscript"/>
        </w:rPr>
        <w:t>−</w:t>
      </w:r>
      <w:r>
        <w:rPr>
          <w:rFonts w:ascii="Times New Roman" w:hAnsi="Times New Roman" w:cs="Times New Roman"/>
        </w:rPr>
        <w:t xml:space="preserve">, PVDF, and solvent molecules in </w:t>
      </w:r>
      <w:r>
        <w:rPr>
          <w:rFonts w:hint="eastAsia" w:ascii="Times New Roman" w:hAnsi="Times New Roman" w:cs="Times New Roman"/>
        </w:rPr>
        <w:t xml:space="preserve">a) </w:t>
      </w:r>
      <w:r>
        <w:rPr>
          <w:rFonts w:ascii="Times New Roman" w:hAnsi="Times New Roman" w:cs="Times New Roman"/>
        </w:rPr>
        <w:t>C-LiNO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and </w:t>
      </w:r>
      <w:r>
        <w:rPr>
          <w:rFonts w:hint="eastAsia" w:ascii="Times New Roman" w:hAnsi="Times New Roman" w:cs="Times New Roman"/>
        </w:rPr>
        <w:t xml:space="preserve">b) </w:t>
      </w:r>
      <w:r>
        <w:rPr>
          <w:rFonts w:ascii="Times New Roman" w:hAnsi="Times New Roman" w:cs="Times New Roman"/>
        </w:rPr>
        <w:t>S-LiNO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GPEs.</w:t>
      </w:r>
    </w:p>
    <w:p w14:paraId="6C0F1A32">
      <w:pPr>
        <w:widowControl/>
        <w:jc w:val="left"/>
        <w:rPr>
          <w:rFonts w:ascii="Times New Roman" w:hAnsi="Times New Roman" w:cs="Times New Roman"/>
        </w:rPr>
      </w:pPr>
    </w:p>
    <w:p w14:paraId="1A6CE9C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0" distR="0">
            <wp:extent cx="5312410" cy="2077085"/>
            <wp:effectExtent l="0" t="0" r="0" b="0"/>
            <wp:docPr id="6357770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77702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rcRect l="5534" r="7651"/>
                    <a:stretch>
                      <a:fillRect/>
                    </a:stretch>
                  </pic:blipFill>
                  <pic:spPr>
                    <a:xfrm>
                      <a:off x="0" y="0"/>
                      <a:ext cx="5313223" cy="20777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A3B41">
      <w:pPr>
        <w:jc w:val="center"/>
        <w:rPr>
          <w:rFonts w:ascii="Times New Roman" w:hAnsi="Times New Roman"/>
        </w:rPr>
      </w:pPr>
      <w:r>
        <w:rPr>
          <w:rFonts w:hint="eastAsia" w:ascii="Times New Roman" w:hAnsi="Times New Roman"/>
          <w:b/>
          <w:bCs/>
        </w:rPr>
        <w:t>Figure S9.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DFT-optimized structures and binding energies of PVDF with Li⁺, 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⁻, and 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ion pairs.</w:t>
      </w:r>
    </w:p>
    <w:p w14:paraId="5D691271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3CE093CE">
      <w:pPr>
        <w:jc w:val="center"/>
      </w:pPr>
      <w:r>
        <w:pict>
          <v:shape id="_x0000_i1031" o:spt="75" type="#_x0000_t75" style="height:292.5pt;width:367.9pt;" filled="f" o:preferrelative="t" stroked="f" coordsize="21600,21600">
            <v:path/>
            <v:fill on="f" focussize="0,0"/>
            <v:stroke on="f" joinstyle="miter"/>
            <v:imagedata r:id="rId13" cropleft="3206f" croptop="4372f" cropright="8901f" cropbottom="820f" o:title=""/>
            <o:lock v:ext="edit" aspectratio="t"/>
            <w10:wrap type="none"/>
            <w10:anchorlock/>
          </v:shape>
        </w:pict>
      </w:r>
    </w:p>
    <w:p w14:paraId="64C611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</w:rPr>
        <w:t>S10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N 1s XPS spectra of Li anodes after 500 cycles at sputtering times of 0 and 60 s</w:t>
      </w:r>
      <w:r>
        <w:rPr>
          <w:rFonts w:hint="eastAsia" w:ascii="Times New Roman" w:hAnsi="Times New Roman" w:cs="Times New Roman"/>
        </w:rPr>
        <w:t xml:space="preserve"> with a, b) </w:t>
      </w:r>
      <w:r>
        <w:rPr>
          <w:rFonts w:ascii="Times New Roman" w:hAnsi="Times New Roman" w:cs="Times New Roman"/>
        </w:rPr>
        <w:t>C-LiNO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</w:t>
      </w:r>
      <w:r>
        <w:rPr>
          <w:rFonts w:hint="eastAsia" w:ascii="Times New Roman" w:hAnsi="Times New Roman" w:cs="Times New Roman"/>
        </w:rPr>
        <w:t xml:space="preserve">; c, d) </w:t>
      </w:r>
      <w:r>
        <w:rPr>
          <w:rFonts w:ascii="Times New Roman" w:hAnsi="Times New Roman" w:cs="Times New Roman"/>
        </w:rPr>
        <w:t>S-LiNO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</w:t>
      </w:r>
      <w:r>
        <w:rPr>
          <w:rFonts w:hint="eastAsia" w:ascii="Times New Roman" w:hAnsi="Times New Roman" w:cs="Times New Roman"/>
        </w:rPr>
        <w:t>.</w:t>
      </w:r>
    </w:p>
    <w:p w14:paraId="2157D60B">
      <w:pPr>
        <w:widowControl/>
        <w:jc w:val="left"/>
        <w:rPr>
          <w:rFonts w:ascii="Times New Roman" w:hAnsi="Times New Roman" w:cs="Times New Roman"/>
        </w:rPr>
      </w:pPr>
    </w:p>
    <w:p w14:paraId="0C080C8D">
      <w:pPr>
        <w:jc w:val="center"/>
      </w:pPr>
      <w:r>
        <w:pict>
          <v:shape id="_x0000_i1032" o:spt="75" type="#_x0000_t75" style="height:292.5pt;width:367.9pt;" filled="f" o:preferrelative="t" stroked="f" coordsize="21600,21600">
            <v:path/>
            <v:fill on="f" focussize="0,0"/>
            <v:stroke on="f" joinstyle="miter"/>
            <v:imagedata r:id="rId14" cropleft="3254f" croptop="4508f" cropright="9236f" cropbottom="1161f" o:title=""/>
            <o:lock v:ext="edit" aspectratio="t"/>
            <w10:wrap type="none"/>
            <w10:anchorlock/>
          </v:shape>
        </w:pict>
      </w:r>
    </w:p>
    <w:p w14:paraId="3EC2B24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</w:rPr>
        <w:t>S11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 1s XPS spectra of Li anodes after 500 cycles at sputtering times of 0 and 60 s</w:t>
      </w:r>
      <w:r>
        <w:rPr>
          <w:rFonts w:hint="eastAsia" w:ascii="Times New Roman" w:hAnsi="Times New Roman" w:cs="Times New Roman"/>
        </w:rPr>
        <w:t xml:space="preserve"> with a, b) </w:t>
      </w:r>
      <w:r>
        <w:rPr>
          <w:rFonts w:ascii="Times New Roman" w:hAnsi="Times New Roman" w:cs="Times New Roman"/>
        </w:rPr>
        <w:t>C-LiNO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</w:t>
      </w:r>
      <w:r>
        <w:rPr>
          <w:rFonts w:hint="eastAsia" w:ascii="Times New Roman" w:hAnsi="Times New Roman" w:cs="Times New Roman"/>
        </w:rPr>
        <w:t xml:space="preserve">; c, d) </w:t>
      </w:r>
      <w:r>
        <w:rPr>
          <w:rFonts w:ascii="Times New Roman" w:hAnsi="Times New Roman" w:cs="Times New Roman"/>
        </w:rPr>
        <w:t>S-LiNO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</w:t>
      </w:r>
      <w:r>
        <w:rPr>
          <w:rFonts w:hint="eastAsia" w:ascii="Times New Roman" w:hAnsi="Times New Roman" w:cs="Times New Roman"/>
        </w:rPr>
        <w:t>.</w:t>
      </w:r>
    </w:p>
    <w:p w14:paraId="16264F7C">
      <w:pPr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/>
          <w:sz w:val="24"/>
        </w:rPr>
        <w:br w:type="page"/>
      </w:r>
    </w:p>
    <w:p w14:paraId="56C404F6">
      <w:pPr>
        <w:spacing w:line="276" w:lineRule="auto"/>
        <w:jc w:val="center"/>
      </w:pPr>
      <w:r>
        <w:drawing>
          <wp:inline distT="0" distB="0" distL="0" distR="0">
            <wp:extent cx="5129530" cy="4805680"/>
            <wp:effectExtent l="0" t="0" r="0" b="0"/>
            <wp:docPr id="10670594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59499" name="图片 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480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F450F">
      <w:pPr>
        <w:snapToGrid w:val="0"/>
        <w:spacing w:after="160" w:line="360" w:lineRule="auto"/>
        <w:jc w:val="center"/>
        <w:rPr>
          <w:rFonts w:ascii="Times New Roman" w:hAnsi="Times New Roman" w:cs="Times New Roman"/>
          <w:szCs w:val="21"/>
          <w14:ligatures w14:val="standardContextual"/>
        </w:rPr>
      </w:pPr>
      <w:r>
        <w:rPr>
          <w:rFonts w:ascii="Times New Roman" w:hAnsi="Times New Roman" w:cs="Times New Roman"/>
          <w:b/>
          <w:bCs/>
          <w:szCs w:val="24"/>
          <w14:ligatures w14:val="standardContextual"/>
        </w:rPr>
        <w:t>Figure S</w:t>
      </w:r>
      <w:r>
        <w:rPr>
          <w:rFonts w:hint="eastAsia" w:ascii="Times New Roman" w:hAnsi="Times New Roman" w:cs="Times New Roman"/>
          <w:b/>
          <w:bCs/>
          <w:szCs w:val="24"/>
          <w14:ligatures w14:val="standardContextual"/>
        </w:rPr>
        <w:t>12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. TOF-SIMS 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2D 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distribution maps of lithium </w:t>
      </w:r>
      <w:r>
        <w:rPr>
          <w:rFonts w:ascii="Times New Roman Regular" w:hAnsi="Times New Roman Regular"/>
          <w:sz w:val="22"/>
          <w:szCs w:val="24"/>
          <w14:ligatures w14:val="standardContextual"/>
        </w:rPr>
        <w:t>anode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 SEI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 after 50 cycles in S-LiNO</w:t>
      </w:r>
      <w:r>
        <w:rPr>
          <w:rFonts w:ascii="Times New Roman" w:hAnsi="Times New Roman" w:cs="Times New Roman"/>
          <w:szCs w:val="24"/>
          <w:vertAlign w:val="subscript"/>
          <w14:ligatures w14:val="standardContextual"/>
        </w:rPr>
        <w:t>3</w:t>
      </w:r>
      <w:r>
        <w:rPr>
          <w:rFonts w:ascii="Times New Roman" w:hAnsi="Times New Roman" w:cs="Times New Roman"/>
          <w:szCs w:val="24"/>
          <w14:ligatures w14:val="standardContextual"/>
        </w:rPr>
        <w:t>.</w:t>
      </w:r>
    </w:p>
    <w:p w14:paraId="3409154F">
      <w:pPr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</w:p>
    <w:p w14:paraId="5B834EC4">
      <w:pPr>
        <w:pStyle w:val="11"/>
        <w:autoSpaceDE w:val="0"/>
        <w:autoSpaceDN w:val="0"/>
        <w:adjustRightInd w:val="0"/>
        <w:snapToGrid w:val="0"/>
        <w:spacing w:line="480" w:lineRule="auto"/>
        <w:ind w:firstLine="0" w:firstLineChars="0"/>
        <w:jc w:val="center"/>
        <w:rPr>
          <w:rFonts w:ascii="Times New Roman" w:hAnsi="Times New Roman"/>
          <w:sz w:val="24"/>
        </w:rPr>
      </w:pPr>
      <w:r>
        <w:drawing>
          <wp:inline distT="0" distB="0" distL="0" distR="0">
            <wp:extent cx="5035550" cy="3121660"/>
            <wp:effectExtent l="0" t="0" r="0" b="2540"/>
            <wp:docPr id="9293443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344324" name="图片 6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19197">
      <w:pPr>
        <w:snapToGrid w:val="0"/>
        <w:spacing w:after="160" w:line="360" w:lineRule="auto"/>
        <w:jc w:val="center"/>
        <w:rPr>
          <w:rFonts w:ascii="Times New Roman" w:hAnsi="Times New Roman" w:cs="Times New Roman"/>
          <w:szCs w:val="21"/>
          <w14:ligatures w14:val="standardContextual"/>
        </w:rPr>
      </w:pPr>
      <w:r>
        <w:rPr>
          <w:rFonts w:ascii="Times New Roman" w:hAnsi="Times New Roman" w:cs="Times New Roman"/>
          <w:b/>
          <w:bCs/>
          <w:szCs w:val="24"/>
          <w14:ligatures w14:val="standardContextual"/>
        </w:rPr>
        <w:t>Figure S</w:t>
      </w:r>
      <w:r>
        <w:rPr>
          <w:rFonts w:hint="eastAsia" w:ascii="Times New Roman" w:hAnsi="Times New Roman" w:cs="Times New Roman"/>
          <w:b/>
          <w:bCs/>
          <w:szCs w:val="24"/>
          <w14:ligatures w14:val="standardContextual"/>
        </w:rPr>
        <w:t>13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. TOF-SIMS 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3D 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distribution map of lithium </w:t>
      </w:r>
      <w:r>
        <w:rPr>
          <w:rFonts w:ascii="Times New Roman Regular" w:hAnsi="Times New Roman Regular"/>
          <w:sz w:val="22"/>
          <w:szCs w:val="24"/>
          <w14:ligatures w14:val="standardContextual"/>
        </w:rPr>
        <w:t>anode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 SEI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 after 50 cycles in S-LiNO</w:t>
      </w:r>
      <w:r>
        <w:rPr>
          <w:rFonts w:ascii="Times New Roman" w:hAnsi="Times New Roman" w:cs="Times New Roman"/>
          <w:szCs w:val="24"/>
          <w:vertAlign w:val="subscript"/>
          <w14:ligatures w14:val="standardContextual"/>
        </w:rPr>
        <w:t>3</w:t>
      </w:r>
      <w:r>
        <w:rPr>
          <w:rFonts w:ascii="Times New Roman" w:hAnsi="Times New Roman" w:cs="Times New Roman"/>
          <w:szCs w:val="24"/>
          <w14:ligatures w14:val="standardContextual"/>
        </w:rPr>
        <w:t>.</w:t>
      </w:r>
    </w:p>
    <w:p w14:paraId="3AEB2646">
      <w:pPr>
        <w:pStyle w:val="11"/>
        <w:autoSpaceDE w:val="0"/>
        <w:autoSpaceDN w:val="0"/>
        <w:adjustRightInd w:val="0"/>
        <w:snapToGrid w:val="0"/>
        <w:spacing w:line="480" w:lineRule="auto"/>
        <w:ind w:firstLine="0" w:firstLineChars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A280BCA">
      <w:pPr>
        <w:pStyle w:val="11"/>
        <w:autoSpaceDE w:val="0"/>
        <w:autoSpaceDN w:val="0"/>
        <w:adjustRightInd w:val="0"/>
        <w:snapToGrid w:val="0"/>
        <w:spacing w:line="480" w:lineRule="auto"/>
        <w:ind w:firstLine="0" w:firstLineChars="0"/>
        <w:jc w:val="center"/>
        <w:rPr>
          <w:rFonts w:ascii="Times New Roman" w:hAnsi="Times New Roman"/>
          <w:sz w:val="24"/>
        </w:rPr>
      </w:pPr>
      <w:r>
        <w:drawing>
          <wp:inline distT="0" distB="0" distL="0" distR="0">
            <wp:extent cx="4978400" cy="4801235"/>
            <wp:effectExtent l="0" t="0" r="0" b="0"/>
            <wp:docPr id="18517282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728272" name="图片 2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48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945B6">
      <w:pPr>
        <w:snapToGrid w:val="0"/>
        <w:spacing w:after="160" w:line="360" w:lineRule="auto"/>
        <w:jc w:val="center"/>
        <w:rPr>
          <w:rFonts w:ascii="Times New Roman" w:hAnsi="Times New Roman" w:cs="Times New Roman"/>
          <w:szCs w:val="21"/>
          <w14:ligatures w14:val="standardContextual"/>
        </w:rPr>
      </w:pPr>
      <w:r>
        <w:rPr>
          <w:rFonts w:ascii="Times New Roman" w:hAnsi="Times New Roman" w:cs="Times New Roman"/>
          <w:b/>
          <w:bCs/>
          <w:szCs w:val="24"/>
          <w14:ligatures w14:val="standardContextual"/>
        </w:rPr>
        <w:t>Figure S</w:t>
      </w:r>
      <w:r>
        <w:rPr>
          <w:rFonts w:hint="eastAsia" w:ascii="Times New Roman" w:hAnsi="Times New Roman" w:cs="Times New Roman"/>
          <w:b/>
          <w:bCs/>
          <w:szCs w:val="24"/>
          <w14:ligatures w14:val="standardContextual"/>
        </w:rPr>
        <w:t>14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. TOF-SIMS 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2D 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distribution map of lithium </w:t>
      </w:r>
      <w:r>
        <w:rPr>
          <w:rFonts w:ascii="Times New Roman Regular" w:hAnsi="Times New Roman Regular"/>
          <w:sz w:val="22"/>
          <w:szCs w:val="24"/>
          <w14:ligatures w14:val="standardContextual"/>
        </w:rPr>
        <w:t>anode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 SEI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 after 50 cycles in the C-LiNO</w:t>
      </w:r>
      <w:r>
        <w:rPr>
          <w:rFonts w:ascii="Times New Roman" w:hAnsi="Times New Roman" w:cs="Times New Roman"/>
          <w:szCs w:val="24"/>
          <w:vertAlign w:val="subscript"/>
          <w14:ligatures w14:val="standardContextual"/>
        </w:rPr>
        <w:t>3</w:t>
      </w:r>
      <w:r>
        <w:rPr>
          <w:rFonts w:ascii="Times New Roman" w:hAnsi="Times New Roman" w:cs="Times New Roman"/>
          <w:szCs w:val="24"/>
          <w14:ligatures w14:val="standardContextual"/>
        </w:rPr>
        <w:t>.</w:t>
      </w:r>
    </w:p>
    <w:p w14:paraId="04D41E3A">
      <w:pPr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</w:p>
    <w:p w14:paraId="58985902">
      <w:pPr>
        <w:pStyle w:val="11"/>
        <w:autoSpaceDE w:val="0"/>
        <w:autoSpaceDN w:val="0"/>
        <w:adjustRightInd w:val="0"/>
        <w:snapToGrid w:val="0"/>
        <w:spacing w:line="480" w:lineRule="auto"/>
        <w:ind w:firstLine="0" w:firstLineChars="0"/>
        <w:jc w:val="center"/>
        <w:rPr>
          <w:rFonts w:ascii="Times New Roman" w:hAnsi="Times New Roman"/>
          <w:sz w:val="24"/>
        </w:rPr>
      </w:pPr>
      <w:r>
        <w:drawing>
          <wp:inline distT="0" distB="0" distL="0" distR="0">
            <wp:extent cx="4991100" cy="2924175"/>
            <wp:effectExtent l="0" t="0" r="0" b="9525"/>
            <wp:docPr id="9112477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247797" name="图片 4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B7592">
      <w:pPr>
        <w:snapToGrid w:val="0"/>
        <w:spacing w:after="160" w:line="360" w:lineRule="auto"/>
        <w:jc w:val="center"/>
        <w:rPr>
          <w:rFonts w:ascii="Times New Roman" w:hAnsi="Times New Roman" w:cs="Times New Roman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szCs w:val="24"/>
          <w14:ligatures w14:val="standardContextual"/>
        </w:rPr>
        <w:t>Figure S</w:t>
      </w:r>
      <w:r>
        <w:rPr>
          <w:rFonts w:hint="eastAsia" w:ascii="Times New Roman" w:hAnsi="Times New Roman" w:cs="Times New Roman"/>
          <w:b/>
          <w:bCs/>
          <w:szCs w:val="24"/>
          <w14:ligatures w14:val="standardContextual"/>
        </w:rPr>
        <w:t>15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. TOF-SIMS 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3D 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distribution map of lithium </w:t>
      </w:r>
      <w:r>
        <w:rPr>
          <w:rFonts w:ascii="Times New Roman Regular" w:hAnsi="Times New Roman Regular"/>
          <w:sz w:val="22"/>
          <w:szCs w:val="24"/>
          <w14:ligatures w14:val="standardContextual"/>
        </w:rPr>
        <w:t>anode</w:t>
      </w:r>
      <w:r>
        <w:rPr>
          <w:rFonts w:hint="eastAsia" w:ascii="Times New Roman" w:hAnsi="Times New Roman" w:cs="Times New Roman"/>
          <w:szCs w:val="24"/>
          <w14:ligatures w14:val="standardContextual"/>
        </w:rPr>
        <w:t xml:space="preserve"> SEI</w:t>
      </w:r>
      <w:r>
        <w:rPr>
          <w:rFonts w:ascii="Times New Roman" w:hAnsi="Times New Roman" w:cs="Times New Roman"/>
          <w:szCs w:val="24"/>
          <w14:ligatures w14:val="standardContextual"/>
        </w:rPr>
        <w:t xml:space="preserve"> after 50 cycles in C-LiNO</w:t>
      </w:r>
      <w:r>
        <w:rPr>
          <w:rFonts w:ascii="Times New Roman" w:hAnsi="Times New Roman" w:cs="Times New Roman"/>
          <w:szCs w:val="24"/>
          <w:vertAlign w:val="subscript"/>
          <w14:ligatures w14:val="standardContextual"/>
        </w:rPr>
        <w:t>3</w:t>
      </w:r>
      <w:r>
        <w:rPr>
          <w:rFonts w:ascii="Times New Roman" w:hAnsi="Times New Roman" w:cs="Times New Roman"/>
          <w:szCs w:val="24"/>
          <w14:ligatures w14:val="standardContextual"/>
        </w:rPr>
        <w:t>.</w:t>
      </w:r>
    </w:p>
    <w:p w14:paraId="12DB7824">
      <w:pPr>
        <w:widowControl/>
        <w:jc w:val="left"/>
        <w:rPr>
          <w:rFonts w:ascii="Times New Roman" w:hAnsi="Times New Roman" w:cs="Times New Roman"/>
          <w:szCs w:val="24"/>
          <w14:ligatures w14:val="standardContextual"/>
        </w:rPr>
      </w:pPr>
      <w:r>
        <w:rPr>
          <w:rFonts w:ascii="Times New Roman" w:hAnsi="Times New Roman" w:cs="Times New Roman"/>
          <w:szCs w:val="24"/>
          <w14:ligatures w14:val="standardContextual"/>
        </w:rPr>
        <w:br w:type="page"/>
      </w:r>
    </w:p>
    <w:p w14:paraId="7C9E7B3B">
      <w:pPr>
        <w:jc w:val="center"/>
        <w:rPr>
          <w:rFonts w:ascii="Times New Roman" w:hAnsi="Times New Roman"/>
        </w:rPr>
      </w:pPr>
      <w:r>
        <w:pict>
          <v:shape id="_x0000_i1033" o:spt="75" type="#_x0000_t75" style="height:166.5pt;width:382.5pt;" filled="f" o:preferrelative="t" stroked="f" coordsize="21600,21600">
            <v:path/>
            <v:fill on="f" focussize="0,0"/>
            <v:stroke on="f" joinstyle="miter"/>
            <v:imagedata r:id="rId19" cropleft="1806f" croptop="1351f" cropright="5427f" cropbottom="27965f" o:title=""/>
            <o:lock v:ext="edit" aspectratio="t"/>
            <w10:wrap type="none"/>
            <w10:anchorlock/>
          </v:shape>
        </w:pict>
      </w:r>
    </w:p>
    <w:p w14:paraId="392DCE0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</w:t>
      </w:r>
      <w:r>
        <w:rPr>
          <w:rFonts w:hint="eastAsia" w:ascii="Times New Roman" w:hAnsi="Times New Roman"/>
          <w:b/>
          <w:bCs/>
        </w:rPr>
        <w:t>ure S16</w:t>
      </w:r>
      <w:r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</w:rPr>
        <w:t xml:space="preserve"> Stepwise critical current density measurements of Li‖Li symmetric cells using a) S-LiNO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GPE and b) C-LiNO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GPE.</w:t>
      </w:r>
    </w:p>
    <w:p w14:paraId="00AC0E5E">
      <w:pPr>
        <w:widowControl/>
        <w:jc w:val="left"/>
        <w:rPr>
          <w:rFonts w:ascii="Times New Roman" w:hAnsi="Times New Roman"/>
        </w:rPr>
      </w:pPr>
    </w:p>
    <w:p w14:paraId="63AFCA91">
      <w:pPr>
        <w:jc w:val="center"/>
      </w:pPr>
      <w:r>
        <w:rPr>
          <w:rFonts w:hint="eastAsia"/>
        </w:rPr>
        <w:drawing>
          <wp:inline distT="0" distB="0" distL="0" distR="0">
            <wp:extent cx="3301365" cy="3226435"/>
            <wp:effectExtent l="0" t="0" r="0" b="0"/>
            <wp:docPr id="1452830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83053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rcRect t="2805"/>
                    <a:stretch>
                      <a:fillRect/>
                    </a:stretch>
                  </pic:blipFill>
                  <pic:spPr>
                    <a:xfrm>
                      <a:off x="0" y="0"/>
                      <a:ext cx="3303726" cy="32290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9EE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</w:t>
      </w:r>
      <w:r>
        <w:rPr>
          <w:rFonts w:hint="eastAsia" w:ascii="Times New Roman" w:hAnsi="Times New Roman" w:cs="Times New Roman"/>
          <w:b/>
          <w:bCs/>
        </w:rPr>
        <w:t xml:space="preserve"> S17.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SEM images of lithium anodes after 500 cycles with a) Bare GPE</w:t>
      </w:r>
      <w:r>
        <w:rPr>
          <w:rFonts w:hint="eastAsia"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b) S-LiNO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</w:t>
      </w:r>
      <w:r>
        <w:rPr>
          <w:rFonts w:hint="eastAsia"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c) C-LiNO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GPE.</w:t>
      </w:r>
    </w:p>
    <w:p w14:paraId="46A28898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45F017D">
      <w:pPr>
        <w:spacing w:before="156" w:beforeLines="50" w:after="156" w:afterLines="5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Table </w:t>
      </w:r>
      <w:r>
        <w:rPr>
          <w:rFonts w:hint="eastAsia" w:ascii="Times New Roman" w:hAnsi="Times New Roman"/>
          <w:b/>
          <w:bCs/>
        </w:rPr>
        <w:t>S4</w:t>
      </w:r>
      <w:r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</w:rPr>
        <w:t xml:space="preserve"> Comparison of reported LiNO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reservoir/release strategies with this work</w:t>
      </w:r>
      <w:r>
        <w:rPr>
          <w:rFonts w:hint="eastAsia" w:ascii="Times New Roman" w:hAnsi="Times New Roman"/>
        </w:rPr>
        <w:t>.</w:t>
      </w:r>
    </w:p>
    <w:tbl>
      <w:tblPr>
        <w:tblStyle w:val="20"/>
        <w:tblW w:w="0" w:type="auto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964"/>
        <w:gridCol w:w="2518"/>
        <w:gridCol w:w="1805"/>
        <w:gridCol w:w="2076"/>
      </w:tblGrid>
      <w:tr w14:paraId="4A124B1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2BC9032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Ref.</w:t>
            </w:r>
          </w:p>
        </w:tc>
        <w:tc>
          <w:tcPr>
            <w:tcW w:w="0" w:type="auto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598BF5B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LiNO</w:t>
            </w:r>
            <w:r>
              <w:rPr>
                <w:rFonts w:hint="eastAsia" w:ascii="Times New Roman" w:hAnsi="Times New Roman"/>
                <w:b/>
                <w:bCs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 xml:space="preserve"> release strategy</w:t>
            </w:r>
          </w:p>
        </w:tc>
        <w:tc>
          <w:tcPr>
            <w:tcW w:w="0" w:type="auto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695D7C6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Membrane/electrolyte system</w:t>
            </w:r>
          </w:p>
        </w:tc>
        <w:tc>
          <w:tcPr>
            <w:tcW w:w="0" w:type="auto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427AC4AD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Cell configuration</w:t>
            </w:r>
          </w:p>
        </w:tc>
        <w:tc>
          <w:tcPr>
            <w:tcW w:w="0" w:type="auto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AD7F65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Representative performance</w:t>
            </w:r>
          </w:p>
        </w:tc>
      </w:tr>
      <w:tr w14:paraId="5D87DCD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AD85367">
            <w:pPr>
              <w:jc w:val="center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/>
                <w:b w:val="0"/>
                <w:bCs w:val="0"/>
                <w:szCs w:val="21"/>
              </w:rPr>
              <w:t>[1]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804754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Separator-stored 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>;</w:t>
            </w:r>
          </w:p>
          <w:p w14:paraId="7E13FCF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slow release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FDD215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LiPF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6</w:t>
            </w:r>
            <w:r>
              <w:rPr>
                <w:rFonts w:ascii="Times New Roman" w:hAnsi="Times New Roman"/>
                <w:szCs w:val="21"/>
              </w:rPr>
              <w:t>/carbonate + 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 xml:space="preserve"> separator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155FA7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Li||Cu; Li</w:t>
            </w:r>
            <w:r>
              <w:rPr>
                <w:rFonts w:hint="eastAsia"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MoS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A76E04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CE</w:t>
            </w:r>
            <w:r>
              <w:rPr>
                <w:rFonts w:hint="eastAsia"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&gt;</w:t>
            </w:r>
            <w:r>
              <w:rPr>
                <w:rFonts w:hint="eastAsia"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98%@10/20 mAh cm</w:t>
            </w:r>
            <w:r>
              <w:rPr>
                <w:rFonts w:hint="eastAsia" w:ascii="Times New Roman" w:hAnsi="Times New Roman"/>
                <w:szCs w:val="21"/>
                <w:vertAlign w:val="superscript"/>
              </w:rPr>
              <w:t>-2</w:t>
            </w:r>
          </w:p>
        </w:tc>
      </w:tr>
      <w:tr w14:paraId="5A283AB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02FE90A">
            <w:pPr>
              <w:jc w:val="center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/>
                <w:b w:val="0"/>
                <w:bCs w:val="0"/>
                <w:szCs w:val="21"/>
              </w:rPr>
              <w:t>[2]</w:t>
            </w:r>
            <w:r>
              <w:rPr>
                <w:rFonts w:ascii="Times New Roman" w:hAnsi="Times New Roman"/>
                <w:b w:val="0"/>
                <w:bCs w:val="0"/>
                <w:szCs w:val="21"/>
              </w:rPr>
              <w:t xml:space="preserve"> </w:t>
            </w:r>
          </w:p>
        </w:tc>
        <w:tc>
          <w:tcPr>
            <w:tcW w:w="0" w:type="auto"/>
          </w:tcPr>
          <w:p w14:paraId="090C02A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PP/LiNO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>/PP sandwich;</w:t>
            </w:r>
          </w:p>
          <w:p w14:paraId="2CCF326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sustained 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hint="eastAsia" w:ascii="Times New Roman" w:hAnsi="Times New Roman"/>
                <w:szCs w:val="21"/>
                <w:vertAlign w:val="superscript"/>
              </w:rPr>
              <w:t>-</w:t>
            </w:r>
            <w:r>
              <w:rPr>
                <w:rFonts w:ascii="Times New Roman" w:hAnsi="Times New Roman"/>
                <w:szCs w:val="21"/>
              </w:rPr>
              <w:t xml:space="preserve"> release</w:t>
            </w:r>
          </w:p>
        </w:tc>
        <w:tc>
          <w:tcPr>
            <w:tcW w:w="0" w:type="auto"/>
          </w:tcPr>
          <w:p w14:paraId="23CCD8C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Carbonate + bilayer PP separator</w:t>
            </w:r>
          </w:p>
        </w:tc>
        <w:tc>
          <w:tcPr>
            <w:tcW w:w="0" w:type="auto"/>
          </w:tcPr>
          <w:p w14:paraId="04A4475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Li||Cu; Li||NCA</w:t>
            </w:r>
          </w:p>
        </w:tc>
        <w:tc>
          <w:tcPr>
            <w:tcW w:w="0" w:type="auto"/>
          </w:tcPr>
          <w:p w14:paraId="2D50DB2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CE</w:t>
            </w:r>
            <w:r>
              <w:rPr>
                <w:rFonts w:hint="eastAsia"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&gt;</w:t>
            </w:r>
            <w:r>
              <w:rPr>
                <w:rFonts w:hint="eastAsia"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95.3%@550 cycles;</w:t>
            </w:r>
          </w:p>
          <w:p w14:paraId="11F409C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NCA: 103.8 mAh g</w:t>
            </w:r>
            <w:r>
              <w:rPr>
                <w:rFonts w:hint="eastAsia" w:ascii="Times New Roman" w:hAnsi="Times New Roman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szCs w:val="21"/>
              </w:rPr>
              <w:t>@500 cycles</w:t>
            </w:r>
          </w:p>
        </w:tc>
      </w:tr>
      <w:tr w14:paraId="3BC9986D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4613806">
            <w:pPr>
              <w:jc w:val="center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/>
                <w:b w:val="0"/>
                <w:bCs w:val="0"/>
                <w:szCs w:val="21"/>
              </w:rPr>
              <w:t>[3]</w:t>
            </w:r>
            <w:r>
              <w:rPr>
                <w:rFonts w:ascii="Times New Roman" w:hAnsi="Times New Roman"/>
                <w:b w:val="0"/>
                <w:bCs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0AF2B3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>@MOF nanocapsules;</w:t>
            </w:r>
          </w:p>
          <w:p w14:paraId="4B19286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continuous supply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F2EFDD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Carbonate + MOF nanocapsules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8CBCF9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Li||LCO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DE84C3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LCO: 90%@240 cycles;</w:t>
            </w:r>
          </w:p>
          <w:p w14:paraId="03C1C5B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>-saturated electrolyte failed after ~60 cycles</w:t>
            </w:r>
          </w:p>
        </w:tc>
      </w:tr>
      <w:tr w14:paraId="308197BD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E95CDF">
            <w:pPr>
              <w:jc w:val="center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/>
                <w:b w:val="0"/>
                <w:bCs w:val="0"/>
                <w:szCs w:val="21"/>
              </w:rPr>
              <w:t>[4]</w:t>
            </w:r>
          </w:p>
        </w:tc>
        <w:tc>
          <w:tcPr>
            <w:tcW w:w="0" w:type="auto"/>
          </w:tcPr>
          <w:p w14:paraId="769CB79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Dissociated 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>;</w:t>
            </w:r>
          </w:p>
          <w:p w14:paraId="753C213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fast-release PVC interlayer</w:t>
            </w:r>
          </w:p>
        </w:tc>
        <w:tc>
          <w:tcPr>
            <w:tcW w:w="0" w:type="auto"/>
          </w:tcPr>
          <w:p w14:paraId="1ED3943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LNO-PVC organogel interlayer</w:t>
            </w:r>
          </w:p>
        </w:tc>
        <w:tc>
          <w:tcPr>
            <w:tcW w:w="0" w:type="auto"/>
          </w:tcPr>
          <w:p w14:paraId="35E9322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Li||Cu;</w:t>
            </w:r>
          </w:p>
          <w:p w14:paraId="4E36FDC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Li||NCM811 pouch</w:t>
            </w:r>
          </w:p>
        </w:tc>
        <w:tc>
          <w:tcPr>
            <w:tcW w:w="0" w:type="auto"/>
          </w:tcPr>
          <w:p w14:paraId="2EB1B64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CE 98.6%@300 cycles;</w:t>
            </w:r>
          </w:p>
          <w:p w14:paraId="72AB4BA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pouch: 400 Wh kg</w:t>
            </w:r>
            <w:r>
              <w:rPr>
                <w:rFonts w:hint="eastAsia" w:ascii="Times New Roman" w:hAnsi="Times New Roman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szCs w:val="21"/>
              </w:rPr>
              <w:t>, 65 cycles</w:t>
            </w:r>
          </w:p>
        </w:tc>
      </w:tr>
      <w:tr w14:paraId="5004A78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6A6FA4F">
            <w:pPr>
              <w:jc w:val="center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/>
                <w:b w:val="0"/>
                <w:bCs w:val="0"/>
                <w:szCs w:val="21"/>
              </w:rPr>
              <w:t>[5]</w:t>
            </w:r>
            <w:r>
              <w:rPr>
                <w:rFonts w:ascii="Times New Roman" w:hAnsi="Times New Roman"/>
                <w:b w:val="0"/>
                <w:bCs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EDDA1E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Bilayer separator;</w:t>
            </w:r>
          </w:p>
          <w:p w14:paraId="179A23C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sustainable 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 xml:space="preserve"> release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F5AFD3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Carbonate + bilayer separator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0B190E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Li||LFP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710F14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LFP: 85%@800 cycles</w:t>
            </w:r>
          </w:p>
        </w:tc>
      </w:tr>
      <w:tr w14:paraId="6E70FCC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D9AC59F">
            <w:pPr>
              <w:jc w:val="center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/>
                <w:b w:val="0"/>
                <w:bCs w:val="0"/>
                <w:szCs w:val="21"/>
              </w:rPr>
              <w:t>[6]</w:t>
            </w:r>
            <w:r>
              <w:rPr>
                <w:rFonts w:ascii="Times New Roman" w:hAnsi="Times New Roman"/>
                <w:b w:val="0"/>
                <w:bCs w:val="0"/>
                <w:szCs w:val="21"/>
              </w:rPr>
              <w:t xml:space="preserve"> </w:t>
            </w:r>
          </w:p>
        </w:tc>
        <w:tc>
          <w:tcPr>
            <w:tcW w:w="0" w:type="auto"/>
          </w:tcPr>
          <w:p w14:paraId="159C42B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>-containing GPE;</w:t>
            </w:r>
          </w:p>
          <w:p w14:paraId="26B884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polymer-network reservoir</w:t>
            </w:r>
          </w:p>
        </w:tc>
        <w:tc>
          <w:tcPr>
            <w:tcW w:w="0" w:type="auto"/>
          </w:tcPr>
          <w:p w14:paraId="0FC025C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PVDF-HFP/POSS/LiNO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 xml:space="preserve"> GPE</w:t>
            </w:r>
          </w:p>
        </w:tc>
        <w:tc>
          <w:tcPr>
            <w:tcW w:w="0" w:type="auto"/>
          </w:tcPr>
          <w:p w14:paraId="5975FFC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Cu||Li;</w:t>
            </w:r>
          </w:p>
          <w:p w14:paraId="1EE1A5B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Cu||NMC811 anode-free</w:t>
            </w:r>
          </w:p>
        </w:tc>
        <w:tc>
          <w:tcPr>
            <w:tcW w:w="0" w:type="auto"/>
          </w:tcPr>
          <w:p w14:paraId="519F616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Cu||Li: 250 cycles;</w:t>
            </w:r>
          </w:p>
          <w:p w14:paraId="6A698DC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anode-free: 31.37%@50 cycles</w:t>
            </w:r>
          </w:p>
        </w:tc>
      </w:tr>
      <w:tr w14:paraId="0BCBF93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F9F7227">
            <w:pPr>
              <w:jc w:val="center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/>
                <w:b w:val="0"/>
                <w:bCs w:val="0"/>
                <w:szCs w:val="21"/>
              </w:rPr>
              <w:t>[7]</w:t>
            </w:r>
            <w:r>
              <w:rPr>
                <w:rFonts w:ascii="Times New Roman" w:hAnsi="Times New Roman"/>
                <w:b w:val="0"/>
                <w:bCs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2EB442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Electrospun PVDF/LiNO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 xml:space="preserve"> nanofibers;</w:t>
            </w:r>
          </w:p>
          <w:p w14:paraId="36A3052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localized release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70999B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PP + PVDF/LiNO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 xml:space="preserve"> nanofiber coating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65AAE3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Li||Li;</w:t>
            </w:r>
          </w:p>
          <w:p w14:paraId="4FDA385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Li||NMC622;</w:t>
            </w:r>
          </w:p>
          <w:p w14:paraId="01AF481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Cu||NMC622 anode-free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C6CFA2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NMC622: 83%@100 cycles;</w:t>
            </w:r>
          </w:p>
          <w:p w14:paraId="3BC4E68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anode-free: 54%@50 cycles</w:t>
            </w:r>
          </w:p>
        </w:tc>
      </w:tr>
      <w:tr w14:paraId="3324B43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B25AE92">
            <w:pPr>
              <w:jc w:val="center"/>
              <w:rPr>
                <w:rFonts w:ascii="Times New Roman" w:hAnsi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/>
                <w:b w:val="0"/>
                <w:bCs w:val="0"/>
                <w:szCs w:val="21"/>
              </w:rPr>
              <w:t>This work</w:t>
            </w:r>
          </w:p>
        </w:tc>
        <w:tc>
          <w:tcPr>
            <w:tcW w:w="0" w:type="auto"/>
          </w:tcPr>
          <w:p w14:paraId="5FA6D1D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C-LiNO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>: bulk GPE reservoir;</w:t>
            </w:r>
          </w:p>
          <w:p w14:paraId="1DCDAEF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S-LiNO</w:t>
            </w:r>
            <w:r>
              <w:rPr>
                <w:rFonts w:hint="eastAsia" w:ascii="Times New Roman" w:hAnsi="Times New Roman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Cs w:val="21"/>
              </w:rPr>
              <w:t>: surface-loaded control</w:t>
            </w:r>
          </w:p>
        </w:tc>
        <w:tc>
          <w:tcPr>
            <w:tcW w:w="0" w:type="auto"/>
          </w:tcPr>
          <w:p w14:paraId="76BD8BC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PVDF-based GPE</w:t>
            </w:r>
          </w:p>
        </w:tc>
        <w:tc>
          <w:tcPr>
            <w:tcW w:w="0" w:type="auto"/>
          </w:tcPr>
          <w:p w14:paraId="60A9040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Li|GPE|Cu;</w:t>
            </w:r>
          </w:p>
          <w:p w14:paraId="4F0D32C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LFP anode-free;</w:t>
            </w:r>
          </w:p>
          <w:p w14:paraId="4861BDC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NCM811|GPE|Li;</w:t>
            </w:r>
          </w:p>
          <w:p w14:paraId="68BA720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LFP|GPE|Li</w:t>
            </w:r>
          </w:p>
        </w:tc>
        <w:tc>
          <w:tcPr>
            <w:tcW w:w="0" w:type="auto"/>
          </w:tcPr>
          <w:p w14:paraId="53B6591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CE 96.39%@185 cycles;</w:t>
            </w:r>
          </w:p>
          <w:p w14:paraId="1585285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LFP anode-free: 151.16 mAh g</w:t>
            </w:r>
            <w:r>
              <w:rPr>
                <w:rFonts w:hint="eastAsia" w:ascii="Times New Roman" w:hAnsi="Times New Roman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szCs w:val="21"/>
              </w:rPr>
              <w:t>@115 cycles;</w:t>
            </w:r>
          </w:p>
          <w:p w14:paraId="306A638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NCM811: 154.72 mAh g</w:t>
            </w:r>
            <w:r>
              <w:rPr>
                <w:rFonts w:hint="eastAsia" w:ascii="Times New Roman" w:hAnsi="Times New Roman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szCs w:val="21"/>
              </w:rPr>
              <w:t>@450 cycles;</w:t>
            </w:r>
          </w:p>
          <w:p w14:paraId="7C7939E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high-loading LFP: 132.81 mAh g</w:t>
            </w:r>
            <w:r>
              <w:rPr>
                <w:rFonts w:hint="eastAsia" w:ascii="Times New Roman" w:hAnsi="Times New Roman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szCs w:val="21"/>
              </w:rPr>
              <w:t>@700 cycles, 88.68%</w:t>
            </w:r>
            <w:r>
              <w:rPr>
                <w:rFonts w:hint="eastAsia" w:ascii="Times New Roman" w:hAnsi="Times New Roman"/>
                <w:szCs w:val="21"/>
              </w:rPr>
              <w:t>;</w:t>
            </w:r>
          </w:p>
          <w:p w14:paraId="51AE9F5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LFP:</w:t>
            </w:r>
            <w:r>
              <w:rPr>
                <w:rFonts w:hint="eastAsia" w:ascii="Times New Roman" w:hAnsi="Times New Roman"/>
                <w:szCs w:val="21"/>
              </w:rPr>
              <w:t xml:space="preserve"> 99.01</w:t>
            </w:r>
            <w:r>
              <w:rPr>
                <w:rFonts w:ascii="Times New Roman" w:hAnsi="Times New Roman"/>
                <w:szCs w:val="21"/>
              </w:rPr>
              <w:t xml:space="preserve"> mAh g</w:t>
            </w:r>
            <w:r>
              <w:rPr>
                <w:rFonts w:hint="eastAsia" w:ascii="Times New Roman" w:hAnsi="Times New Roman"/>
                <w:szCs w:val="21"/>
                <w:vertAlign w:val="superscript"/>
              </w:rPr>
              <w:t>-1</w:t>
            </w:r>
            <w:r>
              <w:rPr>
                <w:rFonts w:ascii="Times New Roman" w:hAnsi="Times New Roman"/>
                <w:szCs w:val="21"/>
              </w:rPr>
              <w:t>@</w:t>
            </w:r>
            <w:r>
              <w:rPr>
                <w:rFonts w:hint="eastAsia" w:ascii="Times New Roman" w:hAnsi="Times New Roman"/>
                <w:szCs w:val="21"/>
              </w:rPr>
              <w:t>3000</w:t>
            </w:r>
            <w:r>
              <w:rPr>
                <w:rFonts w:ascii="Times New Roman" w:hAnsi="Times New Roman"/>
                <w:szCs w:val="21"/>
              </w:rPr>
              <w:t xml:space="preserve"> cycles, </w:t>
            </w:r>
            <w:r>
              <w:rPr>
                <w:rFonts w:hint="eastAsia" w:ascii="Times New Roman" w:hAnsi="Times New Roman"/>
                <w:szCs w:val="21"/>
              </w:rPr>
              <w:t>71.75</w:t>
            </w:r>
            <w:r>
              <w:rPr>
                <w:rFonts w:ascii="Times New Roman" w:hAnsi="Times New Roman"/>
                <w:szCs w:val="21"/>
              </w:rPr>
              <w:t>%</w:t>
            </w:r>
          </w:p>
        </w:tc>
      </w:tr>
    </w:tbl>
    <w:p w14:paraId="51FA45B1">
      <w:pPr>
        <w:widowControl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9508779">
      <w:pPr>
        <w:pStyle w:val="16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Reference</w:t>
      </w:r>
    </w:p>
    <w:p w14:paraId="7A3988A7">
      <w:pPr>
        <w:pStyle w:val="11"/>
        <w:widowControl/>
        <w:numPr>
          <w:ilvl w:val="0"/>
          <w:numId w:val="1"/>
        </w:numPr>
        <w:adjustRightInd w:val="0"/>
        <w:snapToGrid w:val="0"/>
        <w:spacing w:line="260" w:lineRule="atLeast"/>
        <w:ind w:left="425" w:hanging="425" w:firstLineChars="0"/>
        <w:rPr>
          <w:rFonts w:ascii="Times New Roman" w:hAnsi="Times New Roman" w:eastAsia="等线"/>
          <w:sz w:val="18"/>
          <w:szCs w:val="18"/>
          <w14:ligatures w14:val="standardContextual"/>
        </w:rPr>
      </w:pP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Shi, Q.; Zhong, Y.; Wu, M.; et al. High-capacity rechargeable batteries based on deeply cyclable lithium metal anodes.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Proc. Natl. Acad. Sci.</w:t>
      </w:r>
      <w:r>
        <w:rPr>
          <w:rFonts w:hint="eastAsia" w:ascii="Times New Roman" w:hAnsi="Times New Roman" w:eastAsia="等线"/>
          <w:i/>
          <w:iCs/>
          <w:sz w:val="18"/>
          <w:szCs w:val="18"/>
          <w14:ligatures w14:val="standardContextual"/>
        </w:rPr>
        <w:t xml:space="preserve"> USA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 </w:t>
      </w:r>
      <w:r>
        <w:rPr>
          <w:rFonts w:ascii="Times New Roman" w:hAnsi="Times New Roman" w:eastAsia="等线"/>
          <w:b/>
          <w:bCs/>
          <w:sz w:val="18"/>
          <w:szCs w:val="18"/>
          <w14:ligatures w14:val="standardContextual"/>
        </w:rPr>
        <w:t>2018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,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115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>, 5676–5680. https://doi.org/10.1073/pnas.1803634115.</w:t>
      </w:r>
    </w:p>
    <w:p w14:paraId="0C3C6129">
      <w:pPr>
        <w:pStyle w:val="11"/>
        <w:widowControl/>
        <w:numPr>
          <w:ilvl w:val="0"/>
          <w:numId w:val="1"/>
        </w:numPr>
        <w:adjustRightInd w:val="0"/>
        <w:snapToGrid w:val="0"/>
        <w:spacing w:line="260" w:lineRule="atLeast"/>
        <w:ind w:left="425" w:hanging="425" w:firstLineChars="0"/>
        <w:rPr>
          <w:rFonts w:ascii="Times New Roman" w:hAnsi="Times New Roman" w:eastAsia="等线"/>
          <w:sz w:val="18"/>
          <w:szCs w:val="18"/>
          <w14:ligatures w14:val="standardContextual"/>
        </w:rPr>
      </w:pP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Liu, Y.; Qin, X.; Zhou, D.; et al. A biscuit-like separator enabling high performance lithium batteries by continuous and protected releasing of NO3− in carbonate electrolyte.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Energy Storage Mater.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 </w:t>
      </w:r>
      <w:r>
        <w:rPr>
          <w:rFonts w:ascii="Times New Roman" w:hAnsi="Times New Roman" w:eastAsia="等线"/>
          <w:b/>
          <w:bCs/>
          <w:sz w:val="18"/>
          <w:szCs w:val="18"/>
          <w14:ligatures w14:val="standardContextual"/>
        </w:rPr>
        <w:t>2020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,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24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>, 229–236. https://doi.org/10.1016/j.ensm.2019.08.016.</w:t>
      </w:r>
    </w:p>
    <w:p w14:paraId="03682A5B">
      <w:pPr>
        <w:pStyle w:val="11"/>
        <w:widowControl/>
        <w:numPr>
          <w:ilvl w:val="0"/>
          <w:numId w:val="1"/>
        </w:numPr>
        <w:adjustRightInd w:val="0"/>
        <w:snapToGrid w:val="0"/>
        <w:spacing w:line="260" w:lineRule="atLeast"/>
        <w:ind w:left="425" w:hanging="425" w:firstLineChars="0"/>
        <w:rPr>
          <w:rFonts w:ascii="Times New Roman" w:hAnsi="Times New Roman" w:eastAsia="等线"/>
          <w:sz w:val="18"/>
          <w:szCs w:val="18"/>
          <w14:ligatures w14:val="standardContextual"/>
        </w:rPr>
      </w:pP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Liu, Q.; Xu, Y.; Wang, J.; et al. Sustained-release nanocapsules enable long-lasting stabilization of Li anode for practical Li-metal batteries.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Nano-Micro Lett.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 </w:t>
      </w:r>
      <w:r>
        <w:rPr>
          <w:rFonts w:ascii="Times New Roman" w:hAnsi="Times New Roman" w:eastAsia="等线"/>
          <w:b/>
          <w:bCs/>
          <w:sz w:val="18"/>
          <w:szCs w:val="18"/>
          <w14:ligatures w14:val="standardContextual"/>
        </w:rPr>
        <w:t>2020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,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12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>, 176. https://doi.org/10.1007/s40820-020-00514-1.</w:t>
      </w:r>
    </w:p>
    <w:p w14:paraId="4E2D8AF9">
      <w:pPr>
        <w:pStyle w:val="11"/>
        <w:widowControl/>
        <w:numPr>
          <w:ilvl w:val="0"/>
          <w:numId w:val="1"/>
        </w:numPr>
        <w:adjustRightInd w:val="0"/>
        <w:snapToGrid w:val="0"/>
        <w:spacing w:line="260" w:lineRule="atLeast"/>
        <w:ind w:left="425" w:hanging="425" w:firstLineChars="0"/>
        <w:rPr>
          <w:rFonts w:ascii="Times New Roman" w:hAnsi="Times New Roman" w:eastAsia="等线"/>
          <w:sz w:val="18"/>
          <w:szCs w:val="18"/>
          <w14:ligatures w14:val="standardContextual"/>
        </w:rPr>
      </w:pP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Stuckenberg, S.; Bela, M.M.; Lechtenfeld, C.T.; et al. Influence of LiNO3 on the Lithium Metal Deposition Behavior in Carbonate‐Based Liquid Electrolytes and on the Electrochemical Performance in Zero‐Excess Lithium Metal Batteries.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Small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 </w:t>
      </w:r>
      <w:r>
        <w:rPr>
          <w:rFonts w:ascii="Times New Roman" w:hAnsi="Times New Roman" w:eastAsia="等线"/>
          <w:b/>
          <w:bCs/>
          <w:sz w:val="18"/>
          <w:szCs w:val="18"/>
          <w14:ligatures w14:val="standardContextual"/>
        </w:rPr>
        <w:t>2024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,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20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>, 2305203. https://doi.org/10.1002/smll.202305203.</w:t>
      </w:r>
    </w:p>
    <w:p w14:paraId="443948D9">
      <w:pPr>
        <w:pStyle w:val="11"/>
        <w:widowControl/>
        <w:numPr>
          <w:ilvl w:val="0"/>
          <w:numId w:val="1"/>
        </w:numPr>
        <w:adjustRightInd w:val="0"/>
        <w:snapToGrid w:val="0"/>
        <w:spacing w:line="260" w:lineRule="atLeast"/>
        <w:ind w:left="425" w:hanging="425" w:firstLineChars="0"/>
        <w:rPr>
          <w:rFonts w:ascii="Times New Roman" w:hAnsi="Times New Roman" w:eastAsia="等线"/>
          <w:sz w:val="18"/>
          <w:szCs w:val="18"/>
          <w14:ligatures w14:val="standardContextual"/>
        </w:rPr>
      </w:pP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Li, S.; Liu, Y.; Wang, K.; et al. Sustainable release of LiNO3 in carbonate electrolytes for stable lithium metal anodes.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Chem. Commun.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 </w:t>
      </w:r>
      <w:r>
        <w:rPr>
          <w:rFonts w:ascii="Times New Roman" w:hAnsi="Times New Roman" w:eastAsia="等线"/>
          <w:b/>
          <w:bCs/>
          <w:sz w:val="18"/>
          <w:szCs w:val="18"/>
          <w14:ligatures w14:val="standardContextual"/>
        </w:rPr>
        <w:t>2024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,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60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>, 2649–2652. https://doi.org/10.1039/d3cc05859j.</w:t>
      </w:r>
    </w:p>
    <w:p w14:paraId="64AC973A">
      <w:pPr>
        <w:pStyle w:val="11"/>
        <w:widowControl/>
        <w:numPr>
          <w:ilvl w:val="0"/>
          <w:numId w:val="1"/>
        </w:numPr>
        <w:adjustRightInd w:val="0"/>
        <w:snapToGrid w:val="0"/>
        <w:spacing w:line="260" w:lineRule="atLeast"/>
        <w:ind w:left="425" w:hanging="425" w:firstLineChars="0"/>
        <w:rPr>
          <w:rFonts w:ascii="Times New Roman" w:hAnsi="Times New Roman" w:eastAsia="等线"/>
          <w:sz w:val="18"/>
          <w:szCs w:val="18"/>
          <w14:ligatures w14:val="standardContextual"/>
        </w:rPr>
      </w:pP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Yim, T.; Kim, K.; Hassig, M.Q.; et al. Lithium-Nitrate-Containing Gel Polymer Electrolyte for Carbonate-Based Anode-Free Lithium Metal Batteries.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ACS Appl. Mater. Interfaces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 </w:t>
      </w:r>
      <w:r>
        <w:rPr>
          <w:rFonts w:ascii="Times New Roman" w:hAnsi="Times New Roman" w:eastAsia="等线"/>
          <w:b/>
          <w:bCs/>
          <w:sz w:val="18"/>
          <w:szCs w:val="18"/>
          <w14:ligatures w14:val="standardContextual"/>
        </w:rPr>
        <w:t>2025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,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17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>, 37851–37862. https://doi.org/10.1021/acsami.5c03252.</w:t>
      </w:r>
    </w:p>
    <w:p w14:paraId="4C328993">
      <w:pPr>
        <w:pStyle w:val="11"/>
        <w:widowControl/>
        <w:numPr>
          <w:ilvl w:val="0"/>
          <w:numId w:val="1"/>
        </w:numPr>
        <w:adjustRightInd w:val="0"/>
        <w:snapToGrid w:val="0"/>
        <w:spacing w:line="260" w:lineRule="atLeast"/>
        <w:ind w:left="425" w:hanging="425" w:firstLineChars="0"/>
        <w:rPr>
          <w:rFonts w:ascii="Times New Roman" w:hAnsi="Times New Roman" w:eastAsia="等线"/>
          <w:sz w:val="18"/>
          <w:szCs w:val="18"/>
          <w14:ligatures w14:val="standardContextual"/>
        </w:rPr>
      </w:pP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Haidar, A.H.; Hawari, N.H.; Anggreini, D.; et al. PVDF Nanofiber Separator with Sustained LiNO3 Additive Release for Dendrite-Suppressed Anode-Free Lithium Metal Batteries.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J. Mater. Chem. A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 </w:t>
      </w:r>
      <w:r>
        <w:rPr>
          <w:rFonts w:ascii="Times New Roman" w:hAnsi="Times New Roman" w:eastAsia="等线"/>
          <w:b/>
          <w:bCs/>
          <w:sz w:val="18"/>
          <w:szCs w:val="18"/>
          <w14:ligatures w14:val="standardContextual"/>
        </w:rPr>
        <w:t>2026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 xml:space="preserve">, </w:t>
      </w:r>
      <w:r>
        <w:rPr>
          <w:rFonts w:ascii="Times New Roman" w:hAnsi="Times New Roman" w:eastAsia="等线"/>
          <w:i/>
          <w:iCs/>
          <w:sz w:val="18"/>
          <w:szCs w:val="18"/>
          <w14:ligatures w14:val="standardContextual"/>
        </w:rPr>
        <w:t>14</w:t>
      </w:r>
      <w:r>
        <w:rPr>
          <w:rFonts w:ascii="Times New Roman" w:hAnsi="Times New Roman" w:eastAsia="等线"/>
          <w:sz w:val="18"/>
          <w:szCs w:val="18"/>
          <w14:ligatures w14:val="standardContextual"/>
        </w:rPr>
        <w:t>, 12449–12460. https://doi.org/10.1039/d5ta09302c.</w:t>
      </w:r>
    </w:p>
    <w:p w14:paraId="6643BCEB">
      <w:pPr>
        <w:pStyle w:val="16"/>
        <w:rPr>
          <w:rFonts w:ascii="Times New Roman" w:hAnsi="Times New Roman"/>
          <w:sz w:val="24"/>
        </w:rPr>
      </w:pPr>
    </w:p>
    <w:sectPr>
      <w:pgSz w:w="11906" w:h="16838"/>
      <w:pgMar w:top="1077" w:right="1418" w:bottom="1106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353AAB"/>
    <w:multiLevelType w:val="multilevel"/>
    <w:tmpl w:val="07353AAB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C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zxxv0d21t0zwme90v4xdfw4wdfar95e55zd&quot;&gt;My EndNote Library&lt;record-ids&gt;&lt;item&gt;318&lt;/item&gt;&lt;item&gt;319&lt;/item&gt;&lt;item&gt;320&lt;/item&gt;&lt;item&gt;367&lt;/item&gt;&lt;item&gt;368&lt;/item&gt;&lt;item&gt;369&lt;/item&gt;&lt;item&gt;370&lt;/item&gt;&lt;item&gt;371&lt;/item&gt;&lt;item&gt;372&lt;/item&gt;&lt;item&gt;373&lt;/item&gt;&lt;item&gt;431&lt;/item&gt;&lt;item&gt;432&lt;/item&gt;&lt;/record-ids&gt;&lt;/item&gt;&lt;/Libraries&gt;"/>
  </w:docVars>
  <w:rsids>
    <w:rsidRoot w:val="00C24755"/>
    <w:rsid w:val="00002AD8"/>
    <w:rsid w:val="00006831"/>
    <w:rsid w:val="00015244"/>
    <w:rsid w:val="00016D40"/>
    <w:rsid w:val="00017C9C"/>
    <w:rsid w:val="000212E0"/>
    <w:rsid w:val="00021C4D"/>
    <w:rsid w:val="0002439E"/>
    <w:rsid w:val="000268B2"/>
    <w:rsid w:val="00035F9A"/>
    <w:rsid w:val="000446C4"/>
    <w:rsid w:val="000452C8"/>
    <w:rsid w:val="000611FE"/>
    <w:rsid w:val="00064068"/>
    <w:rsid w:val="00067500"/>
    <w:rsid w:val="00082E4A"/>
    <w:rsid w:val="000856F5"/>
    <w:rsid w:val="00086B00"/>
    <w:rsid w:val="00093BB8"/>
    <w:rsid w:val="00095D28"/>
    <w:rsid w:val="000A1418"/>
    <w:rsid w:val="000A414F"/>
    <w:rsid w:val="000A4F74"/>
    <w:rsid w:val="000A79E1"/>
    <w:rsid w:val="000B079F"/>
    <w:rsid w:val="000B1289"/>
    <w:rsid w:val="000B1B2C"/>
    <w:rsid w:val="000B2F6A"/>
    <w:rsid w:val="000B3FD5"/>
    <w:rsid w:val="000B43B9"/>
    <w:rsid w:val="000B5BA8"/>
    <w:rsid w:val="000B7464"/>
    <w:rsid w:val="000B7C68"/>
    <w:rsid w:val="000C2D09"/>
    <w:rsid w:val="000D5BAB"/>
    <w:rsid w:val="000E2F07"/>
    <w:rsid w:val="00106923"/>
    <w:rsid w:val="00110946"/>
    <w:rsid w:val="00110F0A"/>
    <w:rsid w:val="00114F34"/>
    <w:rsid w:val="00115A73"/>
    <w:rsid w:val="00117CBD"/>
    <w:rsid w:val="001277AD"/>
    <w:rsid w:val="00127E70"/>
    <w:rsid w:val="00131859"/>
    <w:rsid w:val="00134E96"/>
    <w:rsid w:val="0013581C"/>
    <w:rsid w:val="001449AF"/>
    <w:rsid w:val="00154CCB"/>
    <w:rsid w:val="00156DBA"/>
    <w:rsid w:val="001629E2"/>
    <w:rsid w:val="0016418C"/>
    <w:rsid w:val="001645DD"/>
    <w:rsid w:val="001731C9"/>
    <w:rsid w:val="001843CA"/>
    <w:rsid w:val="00187943"/>
    <w:rsid w:val="00193761"/>
    <w:rsid w:val="00195066"/>
    <w:rsid w:val="001A11D5"/>
    <w:rsid w:val="001A68C7"/>
    <w:rsid w:val="001B05F5"/>
    <w:rsid w:val="001B272A"/>
    <w:rsid w:val="001B3A00"/>
    <w:rsid w:val="001C2245"/>
    <w:rsid w:val="001C2476"/>
    <w:rsid w:val="001C32BE"/>
    <w:rsid w:val="001C564D"/>
    <w:rsid w:val="001C6CF8"/>
    <w:rsid w:val="001D4338"/>
    <w:rsid w:val="001D4A4A"/>
    <w:rsid w:val="001E2EC0"/>
    <w:rsid w:val="001E3080"/>
    <w:rsid w:val="001E58BC"/>
    <w:rsid w:val="00203AE0"/>
    <w:rsid w:val="00210509"/>
    <w:rsid w:val="00220022"/>
    <w:rsid w:val="00227478"/>
    <w:rsid w:val="00247311"/>
    <w:rsid w:val="00263E96"/>
    <w:rsid w:val="0026651C"/>
    <w:rsid w:val="00272721"/>
    <w:rsid w:val="00272872"/>
    <w:rsid w:val="00273EC9"/>
    <w:rsid w:val="00277714"/>
    <w:rsid w:val="00280069"/>
    <w:rsid w:val="00282C83"/>
    <w:rsid w:val="00290B7E"/>
    <w:rsid w:val="00293C7A"/>
    <w:rsid w:val="002B1475"/>
    <w:rsid w:val="002C1386"/>
    <w:rsid w:val="002C1F11"/>
    <w:rsid w:val="002D20C6"/>
    <w:rsid w:val="002D39C0"/>
    <w:rsid w:val="002E0A00"/>
    <w:rsid w:val="002E424C"/>
    <w:rsid w:val="002F0FB9"/>
    <w:rsid w:val="002F7E7B"/>
    <w:rsid w:val="00304FEE"/>
    <w:rsid w:val="0031146B"/>
    <w:rsid w:val="00311843"/>
    <w:rsid w:val="003147F6"/>
    <w:rsid w:val="00323CF8"/>
    <w:rsid w:val="003402A4"/>
    <w:rsid w:val="0034284A"/>
    <w:rsid w:val="003444B6"/>
    <w:rsid w:val="00357C24"/>
    <w:rsid w:val="00362A8B"/>
    <w:rsid w:val="00362D75"/>
    <w:rsid w:val="00365442"/>
    <w:rsid w:val="00366396"/>
    <w:rsid w:val="0037495E"/>
    <w:rsid w:val="003A4EB2"/>
    <w:rsid w:val="003A59A3"/>
    <w:rsid w:val="003B1D39"/>
    <w:rsid w:val="003B4BFD"/>
    <w:rsid w:val="003B66CF"/>
    <w:rsid w:val="003C2442"/>
    <w:rsid w:val="003C5417"/>
    <w:rsid w:val="003C6A9A"/>
    <w:rsid w:val="003D3D53"/>
    <w:rsid w:val="003D41A7"/>
    <w:rsid w:val="003E5FF0"/>
    <w:rsid w:val="003F1B31"/>
    <w:rsid w:val="003F252B"/>
    <w:rsid w:val="00404B7D"/>
    <w:rsid w:val="004137E4"/>
    <w:rsid w:val="00416E5A"/>
    <w:rsid w:val="00420E7F"/>
    <w:rsid w:val="004268FE"/>
    <w:rsid w:val="00437223"/>
    <w:rsid w:val="00437C52"/>
    <w:rsid w:val="00442D7E"/>
    <w:rsid w:val="0044543C"/>
    <w:rsid w:val="00445664"/>
    <w:rsid w:val="004549AB"/>
    <w:rsid w:val="00456AEA"/>
    <w:rsid w:val="00471E77"/>
    <w:rsid w:val="00473520"/>
    <w:rsid w:val="00490CE1"/>
    <w:rsid w:val="00491DCF"/>
    <w:rsid w:val="004935EB"/>
    <w:rsid w:val="00493A09"/>
    <w:rsid w:val="0049546D"/>
    <w:rsid w:val="004A0810"/>
    <w:rsid w:val="004A713C"/>
    <w:rsid w:val="004B2EC3"/>
    <w:rsid w:val="004D4FFE"/>
    <w:rsid w:val="004D7477"/>
    <w:rsid w:val="004E3EE6"/>
    <w:rsid w:val="004E6B84"/>
    <w:rsid w:val="004F61BC"/>
    <w:rsid w:val="00500F81"/>
    <w:rsid w:val="00501201"/>
    <w:rsid w:val="005027B7"/>
    <w:rsid w:val="005050CA"/>
    <w:rsid w:val="0051352C"/>
    <w:rsid w:val="005240FA"/>
    <w:rsid w:val="00525C5D"/>
    <w:rsid w:val="005270F1"/>
    <w:rsid w:val="00527E50"/>
    <w:rsid w:val="005337BE"/>
    <w:rsid w:val="00536997"/>
    <w:rsid w:val="00543301"/>
    <w:rsid w:val="005436FD"/>
    <w:rsid w:val="0054448F"/>
    <w:rsid w:val="00545B8A"/>
    <w:rsid w:val="00551DD9"/>
    <w:rsid w:val="00562323"/>
    <w:rsid w:val="0057139A"/>
    <w:rsid w:val="0057245B"/>
    <w:rsid w:val="005753B9"/>
    <w:rsid w:val="005814EF"/>
    <w:rsid w:val="00583B67"/>
    <w:rsid w:val="005867D8"/>
    <w:rsid w:val="00594B40"/>
    <w:rsid w:val="00596CA5"/>
    <w:rsid w:val="005A2CA6"/>
    <w:rsid w:val="005C6447"/>
    <w:rsid w:val="005E46B4"/>
    <w:rsid w:val="005E64D3"/>
    <w:rsid w:val="005F7A72"/>
    <w:rsid w:val="005F7D5D"/>
    <w:rsid w:val="0060112C"/>
    <w:rsid w:val="006045FE"/>
    <w:rsid w:val="00604EBD"/>
    <w:rsid w:val="00610204"/>
    <w:rsid w:val="00614592"/>
    <w:rsid w:val="006173C9"/>
    <w:rsid w:val="00617E77"/>
    <w:rsid w:val="00620887"/>
    <w:rsid w:val="006226E0"/>
    <w:rsid w:val="00632A64"/>
    <w:rsid w:val="00635198"/>
    <w:rsid w:val="00636F62"/>
    <w:rsid w:val="00641AAF"/>
    <w:rsid w:val="006519C6"/>
    <w:rsid w:val="00652477"/>
    <w:rsid w:val="00653794"/>
    <w:rsid w:val="00653DE9"/>
    <w:rsid w:val="00660D3D"/>
    <w:rsid w:val="00665DF1"/>
    <w:rsid w:val="0067579E"/>
    <w:rsid w:val="00682C26"/>
    <w:rsid w:val="006839C7"/>
    <w:rsid w:val="006C0129"/>
    <w:rsid w:val="006D0335"/>
    <w:rsid w:val="006D3A21"/>
    <w:rsid w:val="006D4B22"/>
    <w:rsid w:val="00700B9B"/>
    <w:rsid w:val="00702C15"/>
    <w:rsid w:val="00703073"/>
    <w:rsid w:val="00720DC9"/>
    <w:rsid w:val="007324FE"/>
    <w:rsid w:val="00732753"/>
    <w:rsid w:val="007435B7"/>
    <w:rsid w:val="00765A81"/>
    <w:rsid w:val="00767D87"/>
    <w:rsid w:val="00775E0E"/>
    <w:rsid w:val="00777269"/>
    <w:rsid w:val="007775B7"/>
    <w:rsid w:val="00777F3E"/>
    <w:rsid w:val="0078298C"/>
    <w:rsid w:val="00783427"/>
    <w:rsid w:val="00790E10"/>
    <w:rsid w:val="0079658A"/>
    <w:rsid w:val="007A3C9F"/>
    <w:rsid w:val="007C0AAA"/>
    <w:rsid w:val="007C24D4"/>
    <w:rsid w:val="007C6308"/>
    <w:rsid w:val="007C65AC"/>
    <w:rsid w:val="007C6E99"/>
    <w:rsid w:val="007D0679"/>
    <w:rsid w:val="007E2755"/>
    <w:rsid w:val="007E2DFC"/>
    <w:rsid w:val="007E5519"/>
    <w:rsid w:val="007E6ED9"/>
    <w:rsid w:val="007F6550"/>
    <w:rsid w:val="00806B6B"/>
    <w:rsid w:val="00810B90"/>
    <w:rsid w:val="008110B1"/>
    <w:rsid w:val="008135CE"/>
    <w:rsid w:val="0082510A"/>
    <w:rsid w:val="008355E1"/>
    <w:rsid w:val="008368AA"/>
    <w:rsid w:val="008500B9"/>
    <w:rsid w:val="00853062"/>
    <w:rsid w:val="00853A48"/>
    <w:rsid w:val="0086127D"/>
    <w:rsid w:val="008675ED"/>
    <w:rsid w:val="00870485"/>
    <w:rsid w:val="00872BEC"/>
    <w:rsid w:val="00876F30"/>
    <w:rsid w:val="0088130B"/>
    <w:rsid w:val="00884931"/>
    <w:rsid w:val="00891AEA"/>
    <w:rsid w:val="00896898"/>
    <w:rsid w:val="008A2CF9"/>
    <w:rsid w:val="008A3C8C"/>
    <w:rsid w:val="008A448D"/>
    <w:rsid w:val="008A72C1"/>
    <w:rsid w:val="008B0484"/>
    <w:rsid w:val="008B3814"/>
    <w:rsid w:val="008C37B5"/>
    <w:rsid w:val="008D2F1C"/>
    <w:rsid w:val="008E17E2"/>
    <w:rsid w:val="008E5B2B"/>
    <w:rsid w:val="008E6C50"/>
    <w:rsid w:val="008F07A9"/>
    <w:rsid w:val="0090797C"/>
    <w:rsid w:val="0092389B"/>
    <w:rsid w:val="00923DBD"/>
    <w:rsid w:val="009246B8"/>
    <w:rsid w:val="00937211"/>
    <w:rsid w:val="00943315"/>
    <w:rsid w:val="009462D4"/>
    <w:rsid w:val="00952B36"/>
    <w:rsid w:val="00953983"/>
    <w:rsid w:val="009548CF"/>
    <w:rsid w:val="009604F1"/>
    <w:rsid w:val="009617E1"/>
    <w:rsid w:val="00964929"/>
    <w:rsid w:val="00966B9D"/>
    <w:rsid w:val="00967AB6"/>
    <w:rsid w:val="0097139A"/>
    <w:rsid w:val="00980CF2"/>
    <w:rsid w:val="00982DF2"/>
    <w:rsid w:val="009832C7"/>
    <w:rsid w:val="00987CB4"/>
    <w:rsid w:val="009925A1"/>
    <w:rsid w:val="0099654E"/>
    <w:rsid w:val="009A0476"/>
    <w:rsid w:val="009A0580"/>
    <w:rsid w:val="009A0CE5"/>
    <w:rsid w:val="009A2AFA"/>
    <w:rsid w:val="009A4657"/>
    <w:rsid w:val="009A4A8B"/>
    <w:rsid w:val="009B23AB"/>
    <w:rsid w:val="009B49DA"/>
    <w:rsid w:val="009C0932"/>
    <w:rsid w:val="009C30DC"/>
    <w:rsid w:val="009C3947"/>
    <w:rsid w:val="009C562E"/>
    <w:rsid w:val="009C6C38"/>
    <w:rsid w:val="009D2818"/>
    <w:rsid w:val="009D2BA2"/>
    <w:rsid w:val="009D7C7C"/>
    <w:rsid w:val="009E133D"/>
    <w:rsid w:val="009E4D96"/>
    <w:rsid w:val="009F35BE"/>
    <w:rsid w:val="009F572E"/>
    <w:rsid w:val="009F715A"/>
    <w:rsid w:val="00A01B4C"/>
    <w:rsid w:val="00A01E64"/>
    <w:rsid w:val="00A23BDA"/>
    <w:rsid w:val="00A30D03"/>
    <w:rsid w:val="00A31310"/>
    <w:rsid w:val="00A357C0"/>
    <w:rsid w:val="00A40C63"/>
    <w:rsid w:val="00A460A7"/>
    <w:rsid w:val="00A55C9F"/>
    <w:rsid w:val="00A56108"/>
    <w:rsid w:val="00A734BF"/>
    <w:rsid w:val="00A83D7D"/>
    <w:rsid w:val="00A85DA4"/>
    <w:rsid w:val="00A94992"/>
    <w:rsid w:val="00A95643"/>
    <w:rsid w:val="00A9721B"/>
    <w:rsid w:val="00AA0BF4"/>
    <w:rsid w:val="00AA11B3"/>
    <w:rsid w:val="00AA35EE"/>
    <w:rsid w:val="00AB0DAE"/>
    <w:rsid w:val="00AB3D09"/>
    <w:rsid w:val="00AB4DBE"/>
    <w:rsid w:val="00AB6189"/>
    <w:rsid w:val="00AD24FE"/>
    <w:rsid w:val="00AD3639"/>
    <w:rsid w:val="00AD4271"/>
    <w:rsid w:val="00AF37E0"/>
    <w:rsid w:val="00AF433B"/>
    <w:rsid w:val="00AF7A82"/>
    <w:rsid w:val="00B020AD"/>
    <w:rsid w:val="00B047BC"/>
    <w:rsid w:val="00B04DBE"/>
    <w:rsid w:val="00B12F6A"/>
    <w:rsid w:val="00B21181"/>
    <w:rsid w:val="00B241F7"/>
    <w:rsid w:val="00B3059C"/>
    <w:rsid w:val="00B31799"/>
    <w:rsid w:val="00B325CA"/>
    <w:rsid w:val="00B42127"/>
    <w:rsid w:val="00B42352"/>
    <w:rsid w:val="00B43D15"/>
    <w:rsid w:val="00B611F4"/>
    <w:rsid w:val="00B62452"/>
    <w:rsid w:val="00B62C4D"/>
    <w:rsid w:val="00B663F9"/>
    <w:rsid w:val="00B71ECB"/>
    <w:rsid w:val="00B73EF9"/>
    <w:rsid w:val="00B76F3C"/>
    <w:rsid w:val="00B776EC"/>
    <w:rsid w:val="00B822DB"/>
    <w:rsid w:val="00B83AB9"/>
    <w:rsid w:val="00B87E46"/>
    <w:rsid w:val="00B9169B"/>
    <w:rsid w:val="00B92C5F"/>
    <w:rsid w:val="00B9387E"/>
    <w:rsid w:val="00BA1D91"/>
    <w:rsid w:val="00BA24C0"/>
    <w:rsid w:val="00BA380D"/>
    <w:rsid w:val="00BA3C3C"/>
    <w:rsid w:val="00BA6384"/>
    <w:rsid w:val="00BB08C4"/>
    <w:rsid w:val="00BC0640"/>
    <w:rsid w:val="00BC09C1"/>
    <w:rsid w:val="00BD4AAE"/>
    <w:rsid w:val="00BD4F4F"/>
    <w:rsid w:val="00BE2145"/>
    <w:rsid w:val="00BF635E"/>
    <w:rsid w:val="00C053F0"/>
    <w:rsid w:val="00C11C36"/>
    <w:rsid w:val="00C134D4"/>
    <w:rsid w:val="00C14F4A"/>
    <w:rsid w:val="00C22019"/>
    <w:rsid w:val="00C24755"/>
    <w:rsid w:val="00C33FC6"/>
    <w:rsid w:val="00C40910"/>
    <w:rsid w:val="00C45FBD"/>
    <w:rsid w:val="00C520C5"/>
    <w:rsid w:val="00C522F5"/>
    <w:rsid w:val="00C5344E"/>
    <w:rsid w:val="00C60A03"/>
    <w:rsid w:val="00C63E73"/>
    <w:rsid w:val="00C6437D"/>
    <w:rsid w:val="00C668C7"/>
    <w:rsid w:val="00C72F4F"/>
    <w:rsid w:val="00C76381"/>
    <w:rsid w:val="00C823DE"/>
    <w:rsid w:val="00C85AA3"/>
    <w:rsid w:val="00C91559"/>
    <w:rsid w:val="00CA4708"/>
    <w:rsid w:val="00CA4B70"/>
    <w:rsid w:val="00CB6238"/>
    <w:rsid w:val="00CC4306"/>
    <w:rsid w:val="00CD12E6"/>
    <w:rsid w:val="00CD171A"/>
    <w:rsid w:val="00CD7CA5"/>
    <w:rsid w:val="00CE0E24"/>
    <w:rsid w:val="00CE2F1E"/>
    <w:rsid w:val="00CF5A04"/>
    <w:rsid w:val="00D0276C"/>
    <w:rsid w:val="00D11D21"/>
    <w:rsid w:val="00D17036"/>
    <w:rsid w:val="00D22076"/>
    <w:rsid w:val="00D26791"/>
    <w:rsid w:val="00D34FFC"/>
    <w:rsid w:val="00D35932"/>
    <w:rsid w:val="00D44F90"/>
    <w:rsid w:val="00D472EF"/>
    <w:rsid w:val="00D61C77"/>
    <w:rsid w:val="00D73BF8"/>
    <w:rsid w:val="00D916AF"/>
    <w:rsid w:val="00D931DA"/>
    <w:rsid w:val="00DA0478"/>
    <w:rsid w:val="00DA166E"/>
    <w:rsid w:val="00DB1BAC"/>
    <w:rsid w:val="00DB4C60"/>
    <w:rsid w:val="00DD3D0E"/>
    <w:rsid w:val="00DD7745"/>
    <w:rsid w:val="00DE0E92"/>
    <w:rsid w:val="00DE27CB"/>
    <w:rsid w:val="00DF0BD2"/>
    <w:rsid w:val="00DF1D85"/>
    <w:rsid w:val="00DF31AE"/>
    <w:rsid w:val="00DF4DD7"/>
    <w:rsid w:val="00DF5587"/>
    <w:rsid w:val="00DF7148"/>
    <w:rsid w:val="00DF7F61"/>
    <w:rsid w:val="00E0106E"/>
    <w:rsid w:val="00E0726B"/>
    <w:rsid w:val="00E10AF6"/>
    <w:rsid w:val="00E21147"/>
    <w:rsid w:val="00E21BBD"/>
    <w:rsid w:val="00E232B1"/>
    <w:rsid w:val="00E26059"/>
    <w:rsid w:val="00E26152"/>
    <w:rsid w:val="00E261A4"/>
    <w:rsid w:val="00E33D24"/>
    <w:rsid w:val="00E33E49"/>
    <w:rsid w:val="00E3649A"/>
    <w:rsid w:val="00E42735"/>
    <w:rsid w:val="00E42916"/>
    <w:rsid w:val="00E513A4"/>
    <w:rsid w:val="00E605AE"/>
    <w:rsid w:val="00E614DA"/>
    <w:rsid w:val="00E628A2"/>
    <w:rsid w:val="00E66565"/>
    <w:rsid w:val="00E80B6A"/>
    <w:rsid w:val="00E81496"/>
    <w:rsid w:val="00E96A65"/>
    <w:rsid w:val="00EA0F18"/>
    <w:rsid w:val="00EB139D"/>
    <w:rsid w:val="00EB491A"/>
    <w:rsid w:val="00EB5468"/>
    <w:rsid w:val="00EB5E19"/>
    <w:rsid w:val="00EB79BD"/>
    <w:rsid w:val="00EC778D"/>
    <w:rsid w:val="00ED1B17"/>
    <w:rsid w:val="00ED254D"/>
    <w:rsid w:val="00ED3304"/>
    <w:rsid w:val="00ED3F48"/>
    <w:rsid w:val="00EE525D"/>
    <w:rsid w:val="00EF2EB7"/>
    <w:rsid w:val="00EF3138"/>
    <w:rsid w:val="00F02981"/>
    <w:rsid w:val="00F135AE"/>
    <w:rsid w:val="00F144C6"/>
    <w:rsid w:val="00F163F4"/>
    <w:rsid w:val="00F22867"/>
    <w:rsid w:val="00F23140"/>
    <w:rsid w:val="00F251AE"/>
    <w:rsid w:val="00F37360"/>
    <w:rsid w:val="00F40006"/>
    <w:rsid w:val="00F40302"/>
    <w:rsid w:val="00F51631"/>
    <w:rsid w:val="00F625BB"/>
    <w:rsid w:val="00F8160F"/>
    <w:rsid w:val="00F820C3"/>
    <w:rsid w:val="00F90B68"/>
    <w:rsid w:val="00F96164"/>
    <w:rsid w:val="00F9749F"/>
    <w:rsid w:val="00FA130B"/>
    <w:rsid w:val="00FA2DDA"/>
    <w:rsid w:val="00FA4A15"/>
    <w:rsid w:val="00FA4AB7"/>
    <w:rsid w:val="00FA6BA9"/>
    <w:rsid w:val="00FC7B14"/>
    <w:rsid w:val="00FD40BC"/>
    <w:rsid w:val="00FD68F6"/>
    <w:rsid w:val="00FE7099"/>
    <w:rsid w:val="00FE7141"/>
    <w:rsid w:val="00FE7DC8"/>
    <w:rsid w:val="00FF6D49"/>
    <w:rsid w:val="038B132A"/>
    <w:rsid w:val="0AB628C0"/>
    <w:rsid w:val="0B7A411B"/>
    <w:rsid w:val="0D526DFB"/>
    <w:rsid w:val="0F075DB7"/>
    <w:rsid w:val="17A1325E"/>
    <w:rsid w:val="18872B3C"/>
    <w:rsid w:val="1F8D7C79"/>
    <w:rsid w:val="2334054F"/>
    <w:rsid w:val="2DE0049D"/>
    <w:rsid w:val="39BA175C"/>
    <w:rsid w:val="39D90E76"/>
    <w:rsid w:val="3E65012D"/>
    <w:rsid w:val="40C652D1"/>
    <w:rsid w:val="4D8F4D84"/>
    <w:rsid w:val="4F0C7544"/>
    <w:rsid w:val="50253D27"/>
    <w:rsid w:val="52957943"/>
    <w:rsid w:val="568E147F"/>
    <w:rsid w:val="577B2B99"/>
    <w:rsid w:val="580F469F"/>
    <w:rsid w:val="5B750EEC"/>
    <w:rsid w:val="62402CDD"/>
    <w:rsid w:val="78EF1EC7"/>
    <w:rsid w:val="7BBA0FB3"/>
    <w:rsid w:val="7BD4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spacing w:line="360" w:lineRule="auto"/>
      <w:ind w:firstLine="200" w:firstLineChars="200"/>
    </w:pPr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Header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Footer Char"/>
    <w:basedOn w:val="7"/>
    <w:link w:val="3"/>
    <w:qFormat/>
    <w:uiPriority w:val="99"/>
    <w:rPr>
      <w:sz w:val="18"/>
      <w:szCs w:val="18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14">
    <w:name w:val="EndNote Bibliography Title"/>
    <w:basedOn w:val="1"/>
    <w:link w:val="15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5">
    <w:name w:val="EndNote Bibliography Title 字符"/>
    <w:basedOn w:val="7"/>
    <w:link w:val="14"/>
    <w:qFormat/>
    <w:uiPriority w:val="0"/>
    <w:rPr>
      <w:rFonts w:ascii="等线" w:hAnsi="等线" w:eastAsia="等线"/>
      <w:kern w:val="2"/>
      <w:szCs w:val="22"/>
    </w:rPr>
  </w:style>
  <w:style w:type="paragraph" w:customStyle="1" w:styleId="16">
    <w:name w:val="EndNote Bibliography"/>
    <w:basedOn w:val="1"/>
    <w:link w:val="17"/>
    <w:qFormat/>
    <w:uiPriority w:val="0"/>
    <w:rPr>
      <w:rFonts w:ascii="等线" w:hAnsi="等线" w:eastAsia="等线"/>
      <w:sz w:val="20"/>
    </w:rPr>
  </w:style>
  <w:style w:type="character" w:customStyle="1" w:styleId="17">
    <w:name w:val="EndNote Bibliography 字符"/>
    <w:basedOn w:val="7"/>
    <w:link w:val="16"/>
    <w:qFormat/>
    <w:uiPriority w:val="0"/>
    <w:rPr>
      <w:rFonts w:ascii="等线" w:hAnsi="等线" w:eastAsia="等线"/>
      <w:kern w:val="2"/>
      <w:szCs w:val="22"/>
    </w:rPr>
  </w:style>
  <w:style w:type="paragraph" w:customStyle="1" w:styleId="18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9">
    <w:name w:val="网格型1"/>
    <w:basedOn w:val="5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Plain Table 2"/>
    <w:basedOn w:val="5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tif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emf"/><Relationship Id="rId2" Type="http://schemas.openxmlformats.org/officeDocument/2006/relationships/settings" Target="settings.xml"/><Relationship Id="rId19" Type="http://schemas.openxmlformats.org/officeDocument/2006/relationships/image" Target="media/image16.em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emf"/><Relationship Id="rId13" Type="http://schemas.openxmlformats.org/officeDocument/2006/relationships/image" Target="media/image10.emf"/><Relationship Id="rId12" Type="http://schemas.openxmlformats.org/officeDocument/2006/relationships/image" Target="media/image9.emf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584</Words>
  <Characters>3201</Characters>
  <Lines>277</Lines>
  <Paragraphs>199</Paragraphs>
  <TotalTime>44</TotalTime>
  <ScaleCrop>false</ScaleCrop>
  <LinksUpToDate>false</LinksUpToDate>
  <CharactersWithSpaces>3681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2026-08-05T07:29:00Z</dcterms:created>
  <dc:creator>xu han</dc:creator>
  <cp:lastModifiedBy>邓启欣</cp:lastModifiedBy>
  <dcterms:modified xsi:type="dcterms:W3CDTF">2026-09-02T05:12:14Z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c87e2603e2d1cef81b4f54d78c328135aa63db65e72f679dde2040dc23675b2c</vt:lpwstr>
  </property>
  <property fmtid="{D5CDD505-2E9C-101B-9397-08002B2CF9AE}" pid="3" name="KSOProductBuildVer">
    <vt:lpwstr>2052-12.1.0.28043</vt:lpwstr>
  </property>
  <property fmtid="{D5CDD505-2E9C-101B-9397-08002B2CF9AE}" pid="4" name="ICV">
    <vt:lpwstr>9F68691B34874FD8A93BE566BE3B4287_13</vt:lpwstr>
  </property>
  <property fmtid="{D5CDD505-2E9C-101B-9397-08002B2CF9AE}" pid="5" name="KSOTemplateDocerSaveRecord">
    <vt:lpwstr>eyJoZGlkIjoiZDVhMzYyODc3MzY1YjAzNmY3MGIzYTExMmI0ZWQ2OTciLCJ1c2VySWQiOiIyNTQ4NjE0ODIifQ==</vt:lpwstr>
  </property>
</Properties>
</file>