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1C5D" w14:textId="77777777" w:rsidR="00D71AEF" w:rsidRDefault="00000000">
      <w:pPr>
        <w:spacing w:line="48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8674"/>
      <w:r>
        <w:rPr>
          <w:rFonts w:ascii="Times New Roman" w:hAnsi="Times New Roman" w:cs="Times New Roman" w:hint="eastAsia"/>
          <w:b/>
          <w:bCs/>
          <w:sz w:val="28"/>
          <w:szCs w:val="28"/>
        </w:rPr>
        <w:t>Additional Experimental Section</w:t>
      </w:r>
      <w:bookmarkEnd w:id="0"/>
    </w:p>
    <w:p w14:paraId="00002CD5" w14:textId="77777777" w:rsidR="00D71AEF" w:rsidRDefault="00000000">
      <w:pPr>
        <w:spacing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1" w:name="_Toc32451"/>
      <w:r>
        <w:rPr>
          <w:rFonts w:ascii="Times New Roman" w:eastAsia="宋体" w:hAnsi="Times New Roman" w:cs="Times New Roman" w:hint="eastAsia"/>
          <w:i/>
          <w:iCs/>
          <w:szCs w:val="21"/>
        </w:rPr>
        <w:t>Reagents and Materials</w:t>
      </w:r>
      <w:bookmarkEnd w:id="1"/>
    </w:p>
    <w:p w14:paraId="21C49B15" w14:textId="77777777" w:rsidR="00D71AEF" w:rsidRDefault="00000000">
      <w:pPr>
        <w:spacing w:afterLines="50" w:after="156" w:line="48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The 6-mercapto-1-hexanol (MCH) was obtained from Sigma-Aldrich (Shanghai, China). Methylene blue (MB) and hydrochloric acid (HCl) were supplied by Sinopharm Chemical Reagent Co., Ltd. tris(2-</w:t>
      </w:r>
      <w:proofErr w:type="gramStart"/>
      <w:r>
        <w:rPr>
          <w:rFonts w:ascii="Times New Roman" w:eastAsia="宋体" w:hAnsi="Times New Roman" w:cs="Times New Roman"/>
          <w:szCs w:val="21"/>
        </w:rPr>
        <w:t>carboxyethyl)phosphine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 solution (TCEP), 1,2-bis(</w:t>
      </w:r>
      <w:proofErr w:type="spellStart"/>
      <w:r>
        <w:rPr>
          <w:rFonts w:ascii="Times New Roman" w:eastAsia="宋体" w:hAnsi="Times New Roman" w:cs="Times New Roman"/>
          <w:szCs w:val="21"/>
        </w:rPr>
        <w:t>dimethylamino</w:t>
      </w:r>
      <w:proofErr w:type="spellEnd"/>
      <w:r>
        <w:rPr>
          <w:rFonts w:ascii="Times New Roman" w:eastAsia="宋体" w:hAnsi="Times New Roman" w:cs="Times New Roman"/>
          <w:szCs w:val="21"/>
        </w:rPr>
        <w:t>)-ethane (TEMED)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Tris(hydroxymethyl)aminomethane (Tris), 40% acrylamide mix solution, ammonium persulfate (APS),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and the nucleic acids used in this study were acquired from </w:t>
      </w:r>
      <w:proofErr w:type="spellStart"/>
      <w:r>
        <w:rPr>
          <w:rFonts w:ascii="Times New Roman" w:eastAsia="宋体" w:hAnsi="Times New Roman" w:cs="Times New Roman"/>
          <w:szCs w:val="21"/>
        </w:rPr>
        <w:t>Sangon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Biotechnology Co., Ltd. (Shanghai, China). The specific sequences are provided in Table S1. The stock solution of each nucleic acid (100 </w:t>
      </w:r>
      <w:proofErr w:type="spellStart"/>
      <w:r>
        <w:rPr>
          <w:rFonts w:ascii="Times New Roman" w:eastAsia="宋体" w:hAnsi="Times New Roman" w:cs="Times New Roman"/>
          <w:szCs w:val="21"/>
        </w:rPr>
        <w:t>μM</w:t>
      </w:r>
      <w:proofErr w:type="spellEnd"/>
      <w:r>
        <w:rPr>
          <w:rFonts w:ascii="Times New Roman" w:eastAsia="宋体" w:hAnsi="Times New Roman" w:cs="Times New Roman"/>
          <w:szCs w:val="21"/>
        </w:rPr>
        <w:t>) was prepared using TE buffer, which contained 10 mM Tris-HCl, 1 mM EDTA, and 12.5 mM MgCl</w:t>
      </w:r>
      <w:r>
        <w:rPr>
          <w:rFonts w:ascii="Times New Roman" w:eastAsia="宋体" w:hAnsi="Times New Roman" w:cs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(pH 7.4). All chemicals were of analytical grade and used directly without further purification. RNase-free water is used in all experiments.</w:t>
      </w:r>
    </w:p>
    <w:p w14:paraId="0E7E34D9" w14:textId="77777777" w:rsidR="00D71AEF" w:rsidRDefault="00000000">
      <w:pPr>
        <w:spacing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2" w:name="_Toc27407"/>
      <w:r>
        <w:rPr>
          <w:rFonts w:ascii="Times New Roman" w:eastAsia="宋体" w:hAnsi="Times New Roman" w:cs="Times New Roman" w:hint="eastAsia"/>
          <w:i/>
          <w:iCs/>
          <w:szCs w:val="21"/>
        </w:rPr>
        <w:t>Apparatus</w:t>
      </w:r>
      <w:bookmarkEnd w:id="2"/>
    </w:p>
    <w:p w14:paraId="1ABE1D49" w14:textId="77777777" w:rsidR="00D71AEF" w:rsidRDefault="00000000">
      <w:pPr>
        <w:spacing w:afterLines="50" w:after="156" w:line="480" w:lineRule="auto"/>
        <w:ind w:firstLineChars="200" w:firstLine="420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Transmission electron microscopy (TEM) characterization was performed using a Talos F200X transmission electron microscope (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Thermo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Fisher Scientific, USA). UV-vis absorption spectra were recorded on a UV-2450 spectrophotometer (Shimadzu, Japan). Polyacrylamide gel electrophoresis (PAGE) images were captured with a Tanon-1600 gel imaging system (Tanon Science Technology Co., Ltd., Shanghai, China). Differential pulse voltammetry (DPV) measurements were performed on a CHI-660E electrochemical workstation (Shanghai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Chenhua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Instrument Co., Ltd., China). Electrochemical measurements were carried out using a conventional three-electrode system, with a gold electrode (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AuE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, 3 mm in diameter) as the working electrode, a saturated calomel electrode (SCE) as the reference electrode, and a platinum electrode as the counter electrode.</w:t>
      </w:r>
    </w:p>
    <w:p w14:paraId="0A7632B2" w14:textId="77777777" w:rsidR="00D71AEF" w:rsidRDefault="00000000">
      <w:pPr>
        <w:spacing w:beforeLines="100" w:before="312"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3" w:name="_Toc22419"/>
      <w:bookmarkStart w:id="4" w:name="_Toc13295"/>
      <w:r>
        <w:rPr>
          <w:rFonts w:ascii="Times New Roman" w:eastAsia="宋体" w:hAnsi="Times New Roman" w:cs="Times New Roman" w:hint="eastAsia"/>
          <w:i/>
          <w:iCs/>
          <w:szCs w:val="21"/>
        </w:rPr>
        <w:lastRenderedPageBreak/>
        <w:t>Native polyacrylamide gel electrophoresis characterization</w:t>
      </w:r>
      <w:bookmarkEnd w:id="3"/>
      <w:bookmarkEnd w:id="4"/>
    </w:p>
    <w:p w14:paraId="73837A7A" w14:textId="77777777" w:rsidR="00D71AEF" w:rsidRDefault="00000000">
      <w:pPr>
        <w:spacing w:afterLines="50" w:after="156" w:line="480" w:lineRule="auto"/>
        <w:ind w:firstLineChars="200" w:firstLine="420"/>
        <w:rPr>
          <w:rFonts w:ascii="Times New Roman" w:eastAsia="宋体" w:hAnsi="Times New Roman" w:cs="Times New Roman"/>
          <w:i/>
          <w:iCs/>
          <w:szCs w:val="21"/>
        </w:rPr>
      </w:pP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The feasibility of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the hairpin-structured </w:t>
      </w:r>
      <w:proofErr w:type="spellStart"/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DNAzyme</w:t>
      </w:r>
      <w:proofErr w:type="spellEnd"/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-initiated SHCR homogeneous cascade amplification strategy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were verified by 12% native polyacrylamide gel electrophoresis (PAGE). Briefly, 12% native polyacrylamide gels were prepared, and DNA samples from different reaction mixtures (10 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μL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) were mixed with 2 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μL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of 6× loading buffer before being loaded into the corresponding lanes. Electrophoresis was performed in 1× TBE buffer at a constant voltage of 120 V for 45 min. After electrophoresis, the gels were stained with 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GelRed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staining solution in the dark for 20 min and then imaged using a Tanon-1600 gel imaging system.</w:t>
      </w:r>
      <w:bookmarkStart w:id="5" w:name="_Toc29096"/>
    </w:p>
    <w:p w14:paraId="15FE93C8" w14:textId="77777777" w:rsidR="00D71AEF" w:rsidRDefault="00000000">
      <w:pPr>
        <w:spacing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6" w:name="_Toc27062"/>
      <w:r>
        <w:rPr>
          <w:rFonts w:ascii="Times New Roman" w:eastAsia="宋体" w:hAnsi="Times New Roman" w:cs="Times New Roman"/>
          <w:i/>
          <w:iCs/>
          <w:szCs w:val="21"/>
        </w:rPr>
        <w:t>Preparation of AuNPs</w:t>
      </w:r>
      <w:bookmarkEnd w:id="5"/>
      <w:r>
        <w:rPr>
          <w:rFonts w:ascii="Times New Roman" w:eastAsia="宋体" w:hAnsi="Times New Roman" w:cs="Times New Roman" w:hint="eastAsia"/>
          <w:i/>
          <w:iCs/>
          <w:szCs w:val="21"/>
        </w:rPr>
        <w:t xml:space="preserve"> and spherical nucleic acid</w:t>
      </w:r>
      <w:bookmarkEnd w:id="6"/>
    </w:p>
    <w:p w14:paraId="62782410" w14:textId="77777777" w:rsidR="00D71AEF" w:rsidRDefault="00000000">
      <w:pPr>
        <w:spacing w:line="480" w:lineRule="auto"/>
        <w:ind w:firstLineChars="200" w:firstLine="420"/>
        <w:rPr>
          <w:rFonts w:ascii="Times New Roman" w:eastAsia="等线" w:hAnsi="Times New Roman" w:cs="Times New Roman"/>
          <w:szCs w:val="21"/>
          <w14:ligatures w14:val="standardContextual"/>
        </w:rPr>
      </w:pPr>
      <w:r>
        <w:rPr>
          <w:rFonts w:ascii="Times New Roman" w:eastAsia="等线" w:hAnsi="Times New Roman" w:cs="Times New Roman"/>
          <w:szCs w:val="21"/>
          <w14:ligatures w14:val="standardContextual"/>
        </w:rPr>
        <w:t>Briefly, 10 mL of 1% HAuCl</w:t>
      </w:r>
      <w:r>
        <w:rPr>
          <w:rFonts w:ascii="Times New Roman" w:eastAsia="等线" w:hAnsi="Times New Roman" w:cs="Times New Roman"/>
          <w:szCs w:val="21"/>
          <w:vertAlign w:val="subscript"/>
          <w14:ligatures w14:val="standardContextual"/>
        </w:rPr>
        <w:t>4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solution was added to 290 mL of ultrapure water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and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t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he mixture was heated to boiling under vigorous stirring.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Then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, 30 mL of 38.8 mM trisodium citrate solution was rapidly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added and the boiling continued for 15 min. The solution underwent a distinct color transition from pale yellow to wine red, 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>indicative of the formation of AuNPs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. Subsequently, the reaction mixture was cooled to 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>room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temperature and stored at 4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 </w:t>
      </w:r>
      <w:r>
        <w:rPr>
          <w:rFonts w:ascii="Times New Roman" w:eastAsia="宋体" w:hAnsi="Times New Roman" w:cs="Times New Roman"/>
          <w:szCs w:val="21"/>
        </w:rPr>
        <w:t>℃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in the absence of light.</w:t>
      </w:r>
    </w:p>
    <w:p w14:paraId="360C73CC" w14:textId="77777777" w:rsidR="00D71AEF" w:rsidRDefault="00000000">
      <w:pPr>
        <w:spacing w:afterLines="50" w:after="156" w:line="480" w:lineRule="auto"/>
        <w:ind w:firstLineChars="200" w:firstLine="420"/>
        <w:rPr>
          <w:rFonts w:ascii="Times New Roman" w:eastAsia="等线" w:hAnsi="Times New Roman" w:cs="Times New Roman"/>
          <w:szCs w:val="21"/>
          <w14:ligatures w14:val="standardContextual"/>
        </w:rPr>
      </w:pP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For the preparation of spherical nucleic acid, the thiol-labeled DNAs (SH-P and SH-L5) were first activated by 5 µL of TCEP (10 mM) at room temperature for 1 h. Next, the SH-P (3.5 µL, 100 µM), L4 (3.5 µL, 100 µM) were annealed at 90 </w:t>
      </w:r>
      <w:r>
        <w:rPr>
          <w:rFonts w:ascii="Times New Roman" w:eastAsia="宋体" w:hAnsi="Times New Roman" w:cs="Times New Roman"/>
          <w:szCs w:val="21"/>
        </w:rPr>
        <w:t>℃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for 10 min, and after cooling to room temperature, the SH-P/L4 hybrid (1.75 µM) could be obtained. Subsequently, the SH-P/L4 (200 µL, 1.75 µM), SH-L5 (1 µL, 100 µM), and AuNPs (100 µL) were mixed. After the mixture was frozen in a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－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20 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℃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refrigerator for 2 h, NaCl </w:t>
      </w:r>
      <w:proofErr w:type="gramStart"/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(1 M)</w:t>
      </w:r>
      <w:proofErr w:type="gramEnd"/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was immediately added to achieve the final concentration of 0.2 M and the mixture was allowed to stand at room temperature for 24 h. Then, the unbound DNAs were removed by centrifugation (12000 rpm, 30 min) and washed with PBS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lastRenderedPageBreak/>
        <w:t xml:space="preserve">(10 mM, pH </w:t>
      </w:r>
      <w:proofErr w:type="gramStart"/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7.4)</w:t>
      </w:r>
      <w:proofErr w:type="gramEnd"/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for three times. The obtained P/L4-L5-AuNP (that is spherical nucleic acid, SNA) was finally dispersed in 100 µL of PBS and stored at 4 </w:t>
      </w:r>
      <w:r>
        <w:rPr>
          <w:rFonts w:ascii="Times New Roman" w:eastAsia="宋体" w:hAnsi="Times New Roman" w:cs="Times New Roman"/>
          <w:szCs w:val="21"/>
        </w:rPr>
        <w:t>℃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 xml:space="preserve"> for future use.</w:t>
      </w:r>
    </w:p>
    <w:p w14:paraId="16C327DD" w14:textId="77777777" w:rsidR="00D71AEF" w:rsidRDefault="00000000">
      <w:pPr>
        <w:spacing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7" w:name="_Toc10779"/>
      <w:bookmarkStart w:id="8" w:name="_Toc28304"/>
      <w:r>
        <w:rPr>
          <w:rFonts w:ascii="Times New Roman" w:eastAsia="宋体" w:hAnsi="Times New Roman" w:cs="Times New Roman"/>
          <w:i/>
          <w:iCs/>
          <w:szCs w:val="21"/>
        </w:rPr>
        <w:t>Electrode cleaning</w:t>
      </w:r>
      <w:bookmarkEnd w:id="7"/>
      <w:bookmarkEnd w:id="8"/>
    </w:p>
    <w:p w14:paraId="57DCF917" w14:textId="77777777" w:rsidR="00D71AEF" w:rsidRDefault="00000000">
      <w:pPr>
        <w:spacing w:afterLines="50" w:after="156" w:line="480" w:lineRule="auto"/>
        <w:ind w:firstLineChars="200" w:firstLine="420"/>
        <w:rPr>
          <w:rFonts w:ascii="Times New Roman" w:eastAsia="等线" w:hAnsi="Times New Roman" w:cs="Times New Roman"/>
          <w:szCs w:val="21"/>
          <w14:ligatures w14:val="standardContextual"/>
        </w:rPr>
      </w:pPr>
      <w:r>
        <w:rPr>
          <w:rFonts w:ascii="Times New Roman" w:eastAsia="等线" w:hAnsi="Times New Roman" w:cs="Times New Roman"/>
          <w:szCs w:val="21"/>
          <w14:ligatures w14:val="standardContextual"/>
        </w:rPr>
        <w:t>The gold electrode (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AuE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>, 3 mm) was immersed in piranha solution consisting of 98% H</w:t>
      </w:r>
      <w:r>
        <w:rPr>
          <w:rFonts w:ascii="Times New Roman" w:eastAsia="等线" w:hAnsi="Times New Roman" w:cs="Times New Roman" w:hint="eastAsia"/>
          <w:szCs w:val="21"/>
          <w:vertAlign w:val="subscript"/>
          <w14:ligatures w14:val="standardContextual"/>
        </w:rPr>
        <w:t>2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>SO</w:t>
      </w:r>
      <w:r>
        <w:rPr>
          <w:rFonts w:ascii="Times New Roman" w:eastAsia="等线" w:hAnsi="Times New Roman" w:cs="Times New Roman" w:hint="eastAsia"/>
          <w:szCs w:val="21"/>
          <w:vertAlign w:val="subscript"/>
          <w14:ligatures w14:val="standardContextual"/>
        </w:rPr>
        <w:t>4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and 30% H</w:t>
      </w:r>
      <w:r>
        <w:rPr>
          <w:rFonts w:ascii="Times New Roman" w:eastAsia="等线" w:hAnsi="Times New Roman" w:cs="Times New Roman" w:hint="eastAsia"/>
          <w:szCs w:val="21"/>
          <w:vertAlign w:val="subscript"/>
          <w14:ligatures w14:val="standardContextual"/>
        </w:rPr>
        <w:t>2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>O</w:t>
      </w:r>
      <w:r>
        <w:rPr>
          <w:rFonts w:ascii="Times New Roman" w:eastAsia="等线" w:hAnsi="Times New Roman" w:cs="Times New Roman" w:hint="eastAsia"/>
          <w:szCs w:val="21"/>
          <w:vertAlign w:val="subscript"/>
          <w14:ligatures w14:val="standardContextual"/>
        </w:rPr>
        <w:t>2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at a volume ratio of 3:1 for 30 min, followed by thorough rinsing with ultrapure water. After continuous polishing with 0.3 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μm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and 0.05 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μm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alumina slurries for 3 min, the electrode was ultrasonically cleaned with ethanol and ultrapure water for 5 min to remove residual alumina powder. Then, electrochemical cleaning was conducted in freshly prepared 0.5 M H</w:t>
      </w:r>
      <w:r>
        <w:rPr>
          <w:rFonts w:ascii="Times New Roman" w:eastAsia="等线" w:hAnsi="Times New Roman" w:cs="Times New Roman" w:hint="eastAsia"/>
          <w:szCs w:val="21"/>
          <w:vertAlign w:val="subscript"/>
          <w14:ligatures w14:val="standardContextual"/>
        </w:rPr>
        <w:t>2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>SO</w:t>
      </w:r>
      <w:r>
        <w:rPr>
          <w:rFonts w:ascii="Times New Roman" w:eastAsia="等线" w:hAnsi="Times New Roman" w:cs="Times New Roman" w:hint="eastAsia"/>
          <w:szCs w:val="21"/>
          <w:vertAlign w:val="subscript"/>
          <w14:ligatures w14:val="standardContextual"/>
        </w:rPr>
        <w:t>4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at a scan rate of 0.1 V s</w:t>
      </w:r>
      <w:r>
        <w:rPr>
          <w:rFonts w:ascii="Times New Roman" w:eastAsia="等线" w:hAnsi="Times New Roman" w:cs="Times New Roman"/>
          <w:szCs w:val="21"/>
          <w:vertAlign w:val="superscript"/>
          <w14:ligatures w14:val="standardContextual"/>
        </w:rPr>
        <w:t>−</w:t>
      </w:r>
      <w:r>
        <w:rPr>
          <w:rFonts w:ascii="Times New Roman" w:eastAsia="等线" w:hAnsi="Times New Roman" w:cs="Times New Roman" w:hint="eastAsia"/>
          <w:szCs w:val="21"/>
          <w:vertAlign w:val="superscript"/>
          <w14:ligatures w14:val="standardContextual"/>
        </w:rPr>
        <w:t>1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between −0.2 and +1.6 V until a stable cyclic voltammogram (CV) was obtained. Finally, the cleaned </w:t>
      </w:r>
      <w:proofErr w:type="spellStart"/>
      <w:r>
        <w:rPr>
          <w:rFonts w:ascii="Times New Roman" w:eastAsia="等线" w:hAnsi="Times New Roman" w:cs="Times New Roman"/>
          <w:szCs w:val="21"/>
          <w14:ligatures w14:val="standardContextual"/>
        </w:rPr>
        <w:t>AuE</w:t>
      </w:r>
      <w:proofErr w:type="spellEnd"/>
      <w:r>
        <w:rPr>
          <w:rFonts w:ascii="Times New Roman" w:eastAsia="等线" w:hAnsi="Times New Roman" w:cs="Times New Roman"/>
          <w:szCs w:val="21"/>
          <w14:ligatures w14:val="standardContextual"/>
        </w:rPr>
        <w:t xml:space="preserve"> was washed with RNase-free water and dried with nitrogen.</w:t>
      </w:r>
    </w:p>
    <w:p w14:paraId="534CBCD9" w14:textId="77777777" w:rsidR="00D71AEF" w:rsidRDefault="00000000">
      <w:pPr>
        <w:widowControl/>
        <w:spacing w:line="480" w:lineRule="auto"/>
        <w:outlineLvl w:val="1"/>
        <w:rPr>
          <w:rFonts w:ascii="Times New Roman" w:eastAsia="楷体_GB2312" w:hAnsi="Times New Roman" w:cs="Times New Roman"/>
          <w:kern w:val="0"/>
          <w:szCs w:val="21"/>
        </w:rPr>
      </w:pPr>
      <w:bookmarkStart w:id="9" w:name="_Toc19186"/>
      <w:r>
        <w:rPr>
          <w:rFonts w:ascii="Times New Roman" w:eastAsia="宋体" w:hAnsi="Times New Roman" w:cs="Times New Roman" w:hint="eastAsia"/>
          <w:i/>
          <w:iCs/>
          <w:szCs w:val="21"/>
        </w:rPr>
        <w:t>E</w:t>
      </w:r>
      <w:r>
        <w:rPr>
          <w:rFonts w:ascii="Times New Roman" w:eastAsia="宋体" w:hAnsi="Times New Roman" w:cs="Times New Roman"/>
          <w:i/>
          <w:iCs/>
          <w:szCs w:val="21"/>
        </w:rPr>
        <w:t>lectrochemical measurements</w:t>
      </w:r>
      <w:bookmarkEnd w:id="9"/>
    </w:p>
    <w:p w14:paraId="41F5B456" w14:textId="77777777" w:rsidR="00D71AEF" w:rsidRDefault="00000000">
      <w:pPr>
        <w:widowControl/>
        <w:spacing w:afterLines="50" w:after="156" w:line="480" w:lineRule="auto"/>
        <w:ind w:firstLineChars="200" w:firstLine="420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r>
        <w:rPr>
          <w:rFonts w:ascii="Times New Roman" w:eastAsia="楷体_GB2312" w:hAnsi="Times New Roman" w:cs="Times New Roman"/>
          <w:kern w:val="0"/>
          <w:szCs w:val="21"/>
        </w:rPr>
        <w:t xml:space="preserve">Electrochemical impedance spectroscopy (EIS) measurements were performed over a frequency range of 100 kHz to 0.01 Hz at a potential of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241 </w:t>
      </w:r>
      <w:r>
        <w:rPr>
          <w:rFonts w:ascii="Times New Roman" w:eastAsia="楷体_GB2312" w:hAnsi="Times New Roman" w:cs="Times New Roman"/>
          <w:kern w:val="0"/>
          <w:szCs w:val="21"/>
        </w:rPr>
        <w:t>mV in PBS (0.1 M, pH 7.4) containing 5 mM [</w:t>
      </w:r>
      <w:proofErr w:type="gramStart"/>
      <w:r>
        <w:rPr>
          <w:rFonts w:ascii="Times New Roman" w:eastAsia="楷体_GB2312" w:hAnsi="Times New Roman" w:cs="Times New Roman"/>
          <w:kern w:val="0"/>
          <w:szCs w:val="21"/>
        </w:rPr>
        <w:t>Fe(</w:t>
      </w:r>
      <w:proofErr w:type="gramEnd"/>
      <w:r>
        <w:rPr>
          <w:rFonts w:ascii="Times New Roman" w:eastAsia="楷体_GB2312" w:hAnsi="Times New Roman" w:cs="Times New Roman"/>
          <w:kern w:val="0"/>
          <w:szCs w:val="21"/>
        </w:rPr>
        <w:t>CN)</w:t>
      </w:r>
      <w:r>
        <w:rPr>
          <w:rFonts w:ascii="Times New Roman" w:eastAsia="楷体_GB2312" w:hAnsi="Times New Roman" w:cs="Times New Roman"/>
          <w:kern w:val="0"/>
          <w:szCs w:val="21"/>
          <w:vertAlign w:val="subscript"/>
        </w:rPr>
        <w:t>6</w:t>
      </w:r>
      <w:r>
        <w:rPr>
          <w:rFonts w:ascii="Times New Roman" w:eastAsia="楷体_GB2312" w:hAnsi="Times New Roman" w:cs="Times New Roman"/>
          <w:kern w:val="0"/>
          <w:szCs w:val="21"/>
        </w:rPr>
        <w:t>]</w:t>
      </w:r>
      <w:r>
        <w:rPr>
          <w:rFonts w:ascii="Times New Roman" w:eastAsia="楷体_GB2312" w:hAnsi="Times New Roman" w:cs="Times New Roman" w:hint="eastAsia"/>
          <w:kern w:val="0"/>
          <w:szCs w:val="21"/>
          <w:vertAlign w:val="superscript"/>
        </w:rPr>
        <w:t>3</w:t>
      </w:r>
      <w:r>
        <w:rPr>
          <w:rFonts w:ascii="Times New Roman" w:eastAsia="楷体_GB2312" w:hAnsi="Times New Roman" w:cs="Times New Roman"/>
          <w:kern w:val="0"/>
          <w:szCs w:val="21"/>
          <w:vertAlign w:val="superscript"/>
        </w:rPr>
        <w:t>−/</w:t>
      </w:r>
      <w:r>
        <w:rPr>
          <w:rFonts w:ascii="Times New Roman" w:eastAsia="楷体_GB2312" w:hAnsi="Times New Roman" w:cs="Times New Roman" w:hint="eastAsia"/>
          <w:kern w:val="0"/>
          <w:szCs w:val="21"/>
          <w:vertAlign w:val="superscript"/>
        </w:rPr>
        <w:t>4</w:t>
      </w:r>
      <w:r>
        <w:rPr>
          <w:rFonts w:ascii="Times New Roman" w:eastAsia="楷体_GB2312" w:hAnsi="Times New Roman" w:cs="Times New Roman"/>
          <w:kern w:val="0"/>
          <w:szCs w:val="21"/>
          <w:vertAlign w:val="superscript"/>
        </w:rPr>
        <w:t>−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and 0.1 M KCl.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Cyclic voltammetry </w:t>
      </w:r>
      <w:proofErr w:type="gramStart"/>
      <w:r>
        <w:rPr>
          <w:rFonts w:ascii="Times New Roman" w:eastAsia="楷体_GB2312" w:hAnsi="Times New Roman" w:cs="Times New Roman" w:hint="eastAsia"/>
          <w:kern w:val="0"/>
          <w:szCs w:val="21"/>
        </w:rPr>
        <w:t>(CV)</w:t>
      </w:r>
      <w:proofErr w:type="gramEnd"/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applied potential range was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－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0.2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－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0.6 V at a scan rate of 0.1 V/s in PBS (0.1 M, pH </w:t>
      </w:r>
      <w:proofErr w:type="gramStart"/>
      <w:r>
        <w:rPr>
          <w:rFonts w:ascii="Times New Roman" w:eastAsia="楷体_GB2312" w:hAnsi="Times New Roman" w:cs="Times New Roman" w:hint="eastAsia"/>
          <w:kern w:val="0"/>
          <w:szCs w:val="21"/>
        </w:rPr>
        <w:t>7.4)</w:t>
      </w:r>
      <w:proofErr w:type="gramEnd"/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containing 5 mM [Fe</w:t>
      </w:r>
      <w:proofErr w:type="gramStart"/>
      <w:r>
        <w:rPr>
          <w:rFonts w:ascii="Times New Roman" w:eastAsia="楷体_GB2312" w:hAnsi="Times New Roman" w:cs="Times New Roman" w:hint="eastAsia"/>
          <w:kern w:val="0"/>
          <w:szCs w:val="21"/>
        </w:rPr>
        <w:t>(CN)</w:t>
      </w:r>
      <w:proofErr w:type="gramEnd"/>
      <w:r>
        <w:rPr>
          <w:rFonts w:ascii="Times New Roman" w:eastAsia="楷体_GB2312" w:hAnsi="Times New Roman" w:cs="Times New Roman" w:hint="eastAsia"/>
          <w:kern w:val="0"/>
          <w:szCs w:val="21"/>
          <w:vertAlign w:val="subscript"/>
        </w:rPr>
        <w:t>6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]</w:t>
      </w:r>
      <w:r>
        <w:rPr>
          <w:rFonts w:ascii="Times New Roman" w:eastAsia="楷体_GB2312" w:hAnsi="Times New Roman" w:cs="Times New Roman" w:hint="eastAsia"/>
          <w:kern w:val="0"/>
          <w:szCs w:val="21"/>
          <w:vertAlign w:val="superscript"/>
        </w:rPr>
        <w:t>3</w:t>
      </w:r>
      <w:r>
        <w:rPr>
          <w:rFonts w:ascii="Times New Roman" w:eastAsia="楷体_GB2312" w:hAnsi="Times New Roman" w:cs="Times New Roman"/>
          <w:kern w:val="0"/>
          <w:szCs w:val="21"/>
          <w:vertAlign w:val="superscript"/>
        </w:rPr>
        <w:t>−/</w:t>
      </w:r>
      <w:r>
        <w:rPr>
          <w:rFonts w:ascii="Times New Roman" w:eastAsia="楷体_GB2312" w:hAnsi="Times New Roman" w:cs="Times New Roman" w:hint="eastAsia"/>
          <w:kern w:val="0"/>
          <w:szCs w:val="21"/>
          <w:vertAlign w:val="superscript"/>
        </w:rPr>
        <w:t>4</w:t>
      </w:r>
      <w:r>
        <w:rPr>
          <w:rFonts w:ascii="Times New Roman" w:eastAsia="楷体_GB2312" w:hAnsi="Times New Roman" w:cs="Times New Roman"/>
          <w:kern w:val="0"/>
          <w:szCs w:val="21"/>
          <w:vertAlign w:val="superscript"/>
        </w:rPr>
        <w:t>−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and 0.1 M KCl. 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Differential pulse voltammetry </w:t>
      </w:r>
      <w:proofErr w:type="gramStart"/>
      <w:r>
        <w:rPr>
          <w:rFonts w:ascii="Times New Roman" w:eastAsia="楷体_GB2312" w:hAnsi="Times New Roman" w:cs="Times New Roman"/>
          <w:kern w:val="0"/>
          <w:szCs w:val="21"/>
        </w:rPr>
        <w:t>(DPV)</w:t>
      </w:r>
      <w:proofErr w:type="gramEnd"/>
      <w:r>
        <w:rPr>
          <w:rFonts w:ascii="Times New Roman" w:eastAsia="楷体_GB2312" w:hAnsi="Times New Roman" w:cs="Times New Roman"/>
          <w:kern w:val="0"/>
          <w:szCs w:val="21"/>
        </w:rPr>
        <w:t xml:space="preserve"> measurements were conducted using PBS (10 mM, pH </w:t>
      </w:r>
      <w:proofErr w:type="gramStart"/>
      <w:r>
        <w:rPr>
          <w:rFonts w:ascii="Times New Roman" w:eastAsia="楷体_GB2312" w:hAnsi="Times New Roman" w:cs="Times New Roman"/>
          <w:kern w:val="0"/>
          <w:szCs w:val="21"/>
        </w:rPr>
        <w:t>7.4),</w:t>
      </w:r>
      <w:proofErr w:type="gramEnd"/>
      <w:r>
        <w:rPr>
          <w:rFonts w:ascii="Times New Roman" w:eastAsia="楷体_GB2312" w:hAnsi="Times New Roman" w:cs="Times New Roman"/>
          <w:kern w:val="0"/>
          <w:szCs w:val="21"/>
        </w:rPr>
        <w:t xml:space="preserve"> with a scanning range from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－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0.4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to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0.1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V </w:t>
      </w:r>
      <w:proofErr w:type="gramStart"/>
      <w:r>
        <w:rPr>
          <w:rFonts w:ascii="Times New Roman" w:eastAsia="楷体_GB2312" w:hAnsi="Times New Roman" w:cs="Times New Roman"/>
          <w:kern w:val="0"/>
          <w:szCs w:val="21"/>
        </w:rPr>
        <w:t>(versus SCE)</w:t>
      </w:r>
      <w:proofErr w:type="gramEnd"/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for </w:t>
      </w:r>
      <w:r>
        <w:rPr>
          <w:rFonts w:ascii="Times New Roman" w:eastAsia="等线" w:hAnsi="Times New Roman" w:cs="Times New Roman"/>
          <w:szCs w:val="21"/>
          <w14:ligatures w14:val="standardContextual"/>
        </w:rPr>
        <w:t>electrochemical detection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of </w:t>
      </w:r>
      <w:r>
        <w:rPr>
          <w:rFonts w:ascii="Times New Roman" w:eastAsia="等线" w:hAnsi="Times New Roman" w:cs="Times New Roman" w:hint="eastAsia"/>
          <w:szCs w:val="21"/>
          <w14:ligatures w14:val="standardContextual"/>
        </w:rPr>
        <w:t>miR-141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. </w:t>
      </w:r>
      <w:bookmarkStart w:id="10" w:name="_Toc193283462"/>
    </w:p>
    <w:p w14:paraId="0A14297A" w14:textId="77777777" w:rsidR="00D71AEF" w:rsidRDefault="00000000">
      <w:pPr>
        <w:widowControl/>
        <w:spacing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11" w:name="_Toc27847"/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>Cell Culture</w:t>
      </w:r>
      <w:bookmarkEnd w:id="10"/>
      <w:bookmarkEnd w:id="11"/>
    </w:p>
    <w:p w14:paraId="4287E5D1" w14:textId="77777777" w:rsidR="00D71AEF" w:rsidRDefault="00000000">
      <w:pPr>
        <w:widowControl/>
        <w:spacing w:afterLines="50" w:after="156" w:line="480" w:lineRule="auto"/>
        <w:ind w:firstLineChars="200" w:firstLine="420"/>
        <w:rPr>
          <w:rFonts w:ascii="Times New Roman" w:eastAsia="楷体_GB2312" w:hAnsi="Times New Roman" w:cs="Times New Roman"/>
          <w:kern w:val="0"/>
          <w:szCs w:val="21"/>
        </w:rPr>
      </w:pPr>
      <w:r>
        <w:rPr>
          <w:rFonts w:ascii="Times New Roman" w:eastAsia="楷体_GB2312" w:hAnsi="Times New Roman" w:cs="Times New Roman" w:hint="eastAsia"/>
          <w:kern w:val="0"/>
          <w:szCs w:val="21"/>
        </w:rPr>
        <w:t>C</w:t>
      </w:r>
      <w:r>
        <w:rPr>
          <w:rFonts w:ascii="Times New Roman" w:eastAsia="楷体_GB2312" w:hAnsi="Times New Roman" w:cs="Times New Roman"/>
          <w:kern w:val="0"/>
          <w:szCs w:val="21"/>
        </w:rPr>
        <w:t>ervical cancer cells (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HeLa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cells)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and h</w:t>
      </w:r>
      <w:r>
        <w:rPr>
          <w:rFonts w:ascii="Times New Roman" w:eastAsia="楷体_GB2312" w:hAnsi="Times New Roman" w:cs="Times New Roman"/>
          <w:kern w:val="0"/>
          <w:szCs w:val="21"/>
        </w:rPr>
        <w:t>uman breast cancer cells (MDA-MB-231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cells) were obtained from the Cell Bank of Type Culture Collection of Chinese Academy of Sciences </w:t>
      </w:r>
      <w:r>
        <w:rPr>
          <w:rFonts w:ascii="Times New Roman" w:eastAsia="楷体_GB2312" w:hAnsi="Times New Roman" w:cs="Times New Roman"/>
          <w:kern w:val="0"/>
          <w:szCs w:val="21"/>
        </w:rPr>
        <w:lastRenderedPageBreak/>
        <w:t>(Shanghai, China). These cells were respectively cultured in Dulbecco’s modified Eagle medium (DMEM), supplemented with 10% FBS and penicillin streptomycin (100 U/mL) at 37 °C in a humidified 5% CO</w:t>
      </w:r>
      <w:r>
        <w:rPr>
          <w:rFonts w:ascii="Times New Roman" w:eastAsia="楷体_GB2312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incubator. The cells at the end of the log phase were selected for the following experiments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.</w:t>
      </w:r>
      <w:bookmarkStart w:id="12" w:name="_Toc193283463"/>
    </w:p>
    <w:p w14:paraId="72885B1D" w14:textId="77777777" w:rsidR="00D71AEF" w:rsidRDefault="00000000">
      <w:pPr>
        <w:widowControl/>
        <w:spacing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13" w:name="_Toc15087"/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>Total RNA Extraction</w:t>
      </w:r>
      <w:bookmarkEnd w:id="12"/>
      <w:bookmarkEnd w:id="13"/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 xml:space="preserve"> </w:t>
      </w:r>
    </w:p>
    <w:p w14:paraId="741C5FB8" w14:textId="77777777" w:rsidR="00D71AEF" w:rsidRDefault="00000000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RNA was extracted from adherent MDA-MB-231 and HeLa cells using the UNIQ-10 Column Total RNA Purification Kit (</w:t>
      </w:r>
      <w:proofErr w:type="spellStart"/>
      <w:r>
        <w:rPr>
          <w:rFonts w:ascii="Times New Roman" w:hAnsi="Times New Roman" w:cs="Times New Roman"/>
        </w:rPr>
        <w:t>Sangon</w:t>
      </w:r>
      <w:proofErr w:type="spellEnd"/>
      <w:r>
        <w:rPr>
          <w:rFonts w:ascii="Times New Roman" w:hAnsi="Times New Roman" w:cs="Times New Roman"/>
        </w:rPr>
        <w:t>, Inc., Shanghai, China). Approximately 5×10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 cells were collected (after trypsin digestion and centrifugation at 3,000 rpm for 5 min), and the supernatant was completely removed. Then, 350 </w:t>
      </w:r>
      <w:proofErr w:type="spellStart"/>
      <w:r>
        <w:rPr>
          <w:rFonts w:ascii="Times New Roman" w:hAnsi="Times New Roman" w:cs="Times New Roman"/>
        </w:rPr>
        <w:t>μL</w:t>
      </w:r>
      <w:proofErr w:type="spellEnd"/>
      <w:r>
        <w:rPr>
          <w:rFonts w:ascii="Times New Roman" w:hAnsi="Times New Roman" w:cs="Times New Roman"/>
        </w:rPr>
        <w:t xml:space="preserve"> of RLT Solution and 175 </w:t>
      </w:r>
      <w:proofErr w:type="spellStart"/>
      <w:r>
        <w:rPr>
          <w:rFonts w:ascii="Times New Roman" w:hAnsi="Times New Roman" w:cs="Times New Roman"/>
        </w:rPr>
        <w:t>μL</w:t>
      </w:r>
      <w:proofErr w:type="spellEnd"/>
      <w:r>
        <w:rPr>
          <w:rFonts w:ascii="Times New Roman" w:hAnsi="Times New Roman" w:cs="Times New Roman"/>
        </w:rPr>
        <w:t xml:space="preserve"> of absolute ethanol were added and mixed thoroughly. The mixture was transferred entirely into an adsorption column placed in a collection tube. After standing for 2 min, the column was centrifuged at 8,000 rpm for 1 min, and the flow-through was discarded. Subsequently, 500 </w:t>
      </w:r>
      <w:proofErr w:type="spellStart"/>
      <w:r>
        <w:rPr>
          <w:rFonts w:ascii="Times New Roman" w:hAnsi="Times New Roman" w:cs="Times New Roman"/>
        </w:rPr>
        <w:t>μL</w:t>
      </w:r>
      <w:proofErr w:type="spellEnd"/>
      <w:r>
        <w:rPr>
          <w:rFonts w:ascii="Times New Roman" w:hAnsi="Times New Roman" w:cs="Times New Roman"/>
        </w:rPr>
        <w:t xml:space="preserve"> of RW Solution was added to the column, followed by standing for 1 min and centrifugation at 10,000 rpm for 1 min, and the waste liquid was discarded. Then, 500 </w:t>
      </w:r>
      <w:proofErr w:type="spellStart"/>
      <w:r>
        <w:rPr>
          <w:rFonts w:ascii="Times New Roman" w:hAnsi="Times New Roman" w:cs="Times New Roman"/>
        </w:rPr>
        <w:t>μL</w:t>
      </w:r>
      <w:proofErr w:type="spellEnd"/>
      <w:r>
        <w:rPr>
          <w:rFonts w:ascii="Times New Roman" w:hAnsi="Times New Roman" w:cs="Times New Roman"/>
        </w:rPr>
        <w:t xml:space="preserve"> of RPE Solution was added, and after standing for 2 min, the column was centrifuged at 10,000 rpm for 1 min; the flow-through was discarded, and this washing step was repeated once. The adsorption column was placed back into the collection tube and centrifuged at 10,000 rpm for 2 min to remove residual liquid. Finally, the adsorption column was transferred to an RNase-free 1.5 mL microcentrifuge tube. 50 </w:t>
      </w:r>
      <w:proofErr w:type="spellStart"/>
      <w:r>
        <w:rPr>
          <w:rFonts w:ascii="Times New Roman" w:hAnsi="Times New Roman" w:cs="Times New Roman"/>
        </w:rPr>
        <w:t>μL</w:t>
      </w:r>
      <w:proofErr w:type="spellEnd"/>
      <w:r>
        <w:rPr>
          <w:rFonts w:ascii="Times New Roman" w:hAnsi="Times New Roman" w:cs="Times New Roman"/>
        </w:rPr>
        <w:t xml:space="preserve"> of DEPC-treated deionized water was added to the center of the adsorption membrane. After standing for 5 min, the column was centrifuged at 12,000 rpm for 2 min. The resulting RNA solution was stored at 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>0 ℃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or used immediately for subsequent experiments.</w:t>
      </w:r>
    </w:p>
    <w:p w14:paraId="7F90FD2B" w14:textId="77777777" w:rsidR="00D71AEF" w:rsidRDefault="00D71AEF">
      <w:pPr>
        <w:widowControl/>
        <w:spacing w:line="480" w:lineRule="auto"/>
        <w:ind w:firstLineChars="200" w:firstLine="420"/>
        <w:rPr>
          <w:rFonts w:ascii="Times New Roman" w:hAnsi="Times New Roman" w:cs="Times New Roman"/>
        </w:rPr>
      </w:pPr>
    </w:p>
    <w:p w14:paraId="784D470A" w14:textId="77777777" w:rsidR="00D71AEF" w:rsidRDefault="00000000">
      <w:pPr>
        <w:spacing w:beforeLines="100" w:before="312" w:afterLines="50" w:after="156" w:line="360" w:lineRule="auto"/>
        <w:jc w:val="left"/>
        <w:outlineLvl w:val="0"/>
        <w:rPr>
          <w:rFonts w:ascii="Times New Roman" w:eastAsia="等线" w:hAnsi="Times New Roman" w:cs="Times New Roman"/>
          <w:b/>
          <w:kern w:val="44"/>
          <w:sz w:val="24"/>
          <w:szCs w:val="24"/>
        </w:rPr>
      </w:pPr>
      <w:bookmarkStart w:id="14" w:name="_Toc193283464"/>
      <w:bookmarkStart w:id="15" w:name="_Toc13170"/>
      <w:r>
        <w:rPr>
          <w:rFonts w:ascii="Times New Roman" w:eastAsia="等线" w:hAnsi="Times New Roman" w:cs="Times New Roman"/>
          <w:b/>
          <w:kern w:val="44"/>
          <w:sz w:val="24"/>
          <w:szCs w:val="24"/>
        </w:rPr>
        <w:lastRenderedPageBreak/>
        <w:t>Additional Results and Discussion</w:t>
      </w:r>
      <w:bookmarkEnd w:id="14"/>
      <w:bookmarkEnd w:id="15"/>
    </w:p>
    <w:p w14:paraId="47AB448A" w14:textId="77777777" w:rsidR="00D71AEF" w:rsidRDefault="00000000">
      <w:pPr>
        <w:widowControl/>
        <w:spacing w:line="480" w:lineRule="auto"/>
        <w:outlineLvl w:val="1"/>
        <w:rPr>
          <w:rFonts w:ascii="Times New Roman" w:eastAsia="宋体" w:hAnsi="Times New Roman" w:cs="Times New Roman"/>
          <w:i/>
          <w:iCs/>
          <w:sz w:val="24"/>
          <w:szCs w:val="24"/>
        </w:rPr>
      </w:pPr>
      <w:bookmarkStart w:id="16" w:name="_Toc26404"/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Characterization of AuNPs and SNA</w:t>
      </w:r>
      <w:bookmarkEnd w:id="16"/>
    </w:p>
    <w:p w14:paraId="1071505B" w14:textId="77777777" w:rsidR="00D71AEF" w:rsidRDefault="00000000">
      <w:pPr>
        <w:widowControl/>
        <w:spacing w:line="480" w:lineRule="auto"/>
        <w:jc w:val="center"/>
        <w:rPr>
          <w:rFonts w:ascii="Times New Roman" w:eastAsia="楷体_GB2312" w:hAnsi="Times New Roman" w:cs="Times New Roman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4319905" cy="1991995"/>
            <wp:effectExtent l="0" t="0" r="4445" b="825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46DF3" w14:textId="77777777" w:rsidR="00D71AEF" w:rsidRDefault="00000000">
      <w:pPr>
        <w:spacing w:afterLines="50" w:after="156"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 xml:space="preserve">Figure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S1. </w:t>
      </w:r>
      <w:r>
        <w:rPr>
          <w:rFonts w:ascii="Times New Roman" w:eastAsia="宋体" w:hAnsi="Times New Roman" w:cs="Times New Roman" w:hint="eastAsia"/>
          <w:szCs w:val="21"/>
        </w:rPr>
        <w:t>TEM images of (A) bare AuNPs and (B) SNA.</w:t>
      </w:r>
    </w:p>
    <w:p w14:paraId="1E9AFAA4" w14:textId="77777777" w:rsidR="00D71AEF" w:rsidRDefault="00000000">
      <w:pPr>
        <w:spacing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17" w:name="_Toc25033"/>
      <w:r>
        <w:rPr>
          <w:rFonts w:ascii="Times New Roman" w:eastAsia="宋体" w:hAnsi="Times New Roman" w:cs="Times New Roman" w:hint="eastAsia"/>
          <w:i/>
          <w:iCs/>
          <w:szCs w:val="21"/>
        </w:rPr>
        <w:t>Cyclic voltammetry characterization of the stepwise electrode modification</w:t>
      </w:r>
      <w:bookmarkEnd w:id="17"/>
    </w:p>
    <w:p w14:paraId="3A8E269E" w14:textId="77777777" w:rsidR="00D71AEF" w:rsidRDefault="00000000">
      <w:pPr>
        <w:spacing w:line="48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 xml:space="preserve">The layer-by-layer assembly process on the working electrode was characterized by cyclic voltammetry (CV). As shown in </w:t>
      </w:r>
      <w:r>
        <w:rPr>
          <w:rFonts w:ascii="Times New Roman" w:eastAsia="宋体" w:hAnsi="Times New Roman" w:cs="Times New Roman" w:hint="eastAsia"/>
          <w:color w:val="0000FF"/>
          <w:szCs w:val="21"/>
        </w:rPr>
        <w:t>Figure S2</w:t>
      </w:r>
      <w:r>
        <w:rPr>
          <w:rFonts w:ascii="Times New Roman" w:eastAsia="宋体" w:hAnsi="Times New Roman" w:cs="Times New Roman" w:hint="eastAsia"/>
          <w:szCs w:val="21"/>
        </w:rPr>
        <w:t>, the bare gold electrode (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AuE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) exhibited a well-defined pair of redox peaks with the highest peak current, reflecting its excellent electron-transfer capability. After immobilization of the thiol-modified capture DNA probe (S/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AuE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), the peak current decreased because the negatively charged phosphate backbone of the DNA hindered the electron transfer of the [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Fe(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>CN)</w:t>
      </w:r>
      <w:r>
        <w:rPr>
          <w:rFonts w:ascii="Times New Roman" w:eastAsia="宋体" w:hAnsi="Times New Roman" w:cs="Times New Roman" w:hint="eastAsia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eastAsia"/>
          <w:szCs w:val="21"/>
        </w:rPr>
        <w:t>]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3-/4-</w:t>
      </w:r>
      <w:r>
        <w:rPr>
          <w:rFonts w:ascii="Times New Roman" w:eastAsia="宋体" w:hAnsi="Times New Roman" w:cs="Times New Roman" w:hint="eastAsia"/>
          <w:szCs w:val="21"/>
        </w:rPr>
        <w:t xml:space="preserve"> redox probe. Following passivation of the remaining active sites with MCH (MCH/S/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AuE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), the peak current decreased further, indicating that the MCH layer further impeded electron transfer at the electrode interface. Upon immobilization of the GM-SHCR products generated by the hairpin-structured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DNAzyme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-initiated SHCR homogeneous cascade amplification strategy (GM-SHCR/MCH/S/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AuE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), the peak current showed a further pronounced decrease. This behavior is attributed to the increased surface coverage of negatively charged DNA amplification products, which enhanced the electrostatic repulsion toward the </w:t>
      </w:r>
      <w:r>
        <w:rPr>
          <w:rFonts w:ascii="Times New Roman" w:eastAsia="宋体" w:hAnsi="Times New Roman" w:cs="Times New Roman" w:hint="eastAsia"/>
          <w:szCs w:val="21"/>
        </w:rPr>
        <w:lastRenderedPageBreak/>
        <w:t>[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Fe(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>CN)</w:t>
      </w:r>
      <w:r>
        <w:rPr>
          <w:rFonts w:ascii="Times New Roman" w:eastAsia="宋体" w:hAnsi="Times New Roman" w:cs="Times New Roman" w:hint="eastAsia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eastAsia"/>
          <w:szCs w:val="21"/>
        </w:rPr>
        <w:t>]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3-/4-</w:t>
      </w:r>
      <w:r>
        <w:rPr>
          <w:rFonts w:ascii="Times New Roman" w:eastAsia="宋体" w:hAnsi="Times New Roman" w:cs="Times New Roman" w:hint="eastAsia"/>
          <w:szCs w:val="21"/>
        </w:rPr>
        <w:t xml:space="preserve"> redox probe and further hindered interfacial electron transfer. These CV results confirm the successful stepwise modification of the electrode surface.</w:t>
      </w:r>
    </w:p>
    <w:p w14:paraId="7A6C4859" w14:textId="77777777" w:rsidR="00D71AEF" w:rsidRDefault="00000000">
      <w:pPr>
        <w:spacing w:line="480" w:lineRule="auto"/>
        <w:jc w:val="center"/>
        <w:rPr>
          <w:rFonts w:ascii="Times New Roman" w:eastAsia="宋体" w:hAnsi="Times New Roman" w:cs="Times New Roman"/>
          <w:i/>
          <w:iCs/>
          <w:szCs w:val="21"/>
        </w:rPr>
      </w:pPr>
      <w:r>
        <w:rPr>
          <w:rFonts w:ascii="Times New Roman" w:eastAsia="宋体" w:hAnsi="Times New Roman" w:cs="Times New Roman" w:hint="eastAsia"/>
          <w:i/>
          <w:iCs/>
          <w:noProof/>
          <w:szCs w:val="21"/>
        </w:rPr>
        <w:drawing>
          <wp:inline distT="0" distB="0" distL="114300" distR="114300">
            <wp:extent cx="2879725" cy="2226945"/>
            <wp:effectExtent l="0" t="0" r="6350" b="1905"/>
            <wp:docPr id="4" name="图片 4" descr="f927e3d6824554ca3d9928971a99da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927e3d6824554ca3d9928971a99da0f"/>
                    <pic:cNvPicPr>
                      <a:picLocks noChangeAspect="1"/>
                    </pic:cNvPicPr>
                  </pic:nvPicPr>
                  <pic:blipFill>
                    <a:blip r:embed="rId5"/>
                    <a:srcRect l="3913" t="9314" r="9573" b="3272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6D14" w14:textId="77777777" w:rsidR="00D71AEF" w:rsidRDefault="00000000">
      <w:pPr>
        <w:spacing w:line="480" w:lineRule="auto"/>
        <w:ind w:firstLineChars="200" w:firstLine="420"/>
        <w:jc w:val="center"/>
        <w:rPr>
          <w:rFonts w:ascii="Times New Roman" w:eastAsia="等线" w:hAnsi="Times New Roman" w:cs="Times New Roman"/>
          <w:bCs/>
          <w:szCs w:val="24"/>
        </w:rPr>
      </w:pPr>
      <w:r>
        <w:rPr>
          <w:rFonts w:ascii="Times New Roman" w:eastAsia="等线" w:hAnsi="Times New Roman" w:cs="Times New Roman"/>
          <w:b/>
          <w:szCs w:val="24"/>
        </w:rPr>
        <w:t xml:space="preserve">Figure </w:t>
      </w:r>
      <w:r>
        <w:rPr>
          <w:rFonts w:ascii="Times New Roman" w:eastAsia="等线" w:hAnsi="Times New Roman" w:cs="Times New Roman" w:hint="eastAsia"/>
          <w:b/>
          <w:szCs w:val="24"/>
        </w:rPr>
        <w:t>S2</w:t>
      </w:r>
      <w:r>
        <w:rPr>
          <w:rFonts w:ascii="Times New Roman" w:eastAsia="等线" w:hAnsi="Times New Roman" w:cs="Times New Roman"/>
          <w:b/>
          <w:szCs w:val="24"/>
        </w:rPr>
        <w:t>.</w:t>
      </w:r>
      <w:r>
        <w:rPr>
          <w:rFonts w:ascii="Times New Roman" w:eastAsia="等线" w:hAnsi="Times New Roman" w:cs="Times New Roman"/>
          <w:bCs/>
          <w:szCs w:val="24"/>
        </w:rPr>
        <w:t xml:space="preserve"> CV characterization of the </w:t>
      </w:r>
      <w:r>
        <w:rPr>
          <w:rFonts w:ascii="Times New Roman" w:eastAsia="等线" w:hAnsi="Times New Roman" w:cs="Times New Roman" w:hint="eastAsia"/>
          <w:bCs/>
          <w:szCs w:val="24"/>
        </w:rPr>
        <w:t>stepwise electrode modification</w:t>
      </w:r>
      <w:r>
        <w:rPr>
          <w:rFonts w:ascii="Times New Roman" w:eastAsia="等线" w:hAnsi="Times New Roman" w:cs="Times New Roman"/>
          <w:bCs/>
          <w:szCs w:val="24"/>
        </w:rPr>
        <w:t xml:space="preserve"> process.</w:t>
      </w:r>
    </w:p>
    <w:p w14:paraId="22055DBA" w14:textId="77777777" w:rsidR="00D71AEF" w:rsidRDefault="00000000">
      <w:pPr>
        <w:spacing w:line="480" w:lineRule="auto"/>
        <w:outlineLvl w:val="1"/>
        <w:rPr>
          <w:rFonts w:ascii="Times New Roman" w:eastAsia="宋体" w:hAnsi="Times New Roman" w:cs="Times New Roman"/>
          <w:i/>
          <w:iCs/>
          <w:szCs w:val="21"/>
        </w:rPr>
      </w:pPr>
      <w:bookmarkStart w:id="18" w:name="_Toc10333"/>
      <w:r>
        <w:rPr>
          <w:rFonts w:ascii="Times New Roman" w:eastAsia="宋体" w:hAnsi="Times New Roman" w:cs="Times New Roman" w:hint="eastAsia"/>
          <w:i/>
          <w:iCs/>
          <w:szCs w:val="21"/>
        </w:rPr>
        <w:t>Comparison of homogeneous and heterogeneous amplification signals</w:t>
      </w:r>
      <w:bookmarkEnd w:id="18"/>
    </w:p>
    <w:p w14:paraId="42E96AA8" w14:textId="77777777" w:rsidR="00D71AEF" w:rsidRDefault="00000000">
      <w:pPr>
        <w:spacing w:line="480" w:lineRule="auto"/>
        <w:jc w:val="center"/>
      </w:pPr>
      <w:r>
        <w:rPr>
          <w:noProof/>
        </w:rPr>
        <w:drawing>
          <wp:inline distT="0" distB="0" distL="114300" distR="114300" wp14:editId="79BADC9A">
            <wp:extent cx="2879725" cy="2421890"/>
            <wp:effectExtent l="0" t="0" r="6350" b="698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6" t="7664" r="11461" b="256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D90D1" w14:textId="77777777" w:rsidR="00D71AEF" w:rsidRDefault="00000000">
      <w:pPr>
        <w:spacing w:afterLines="50" w:after="156"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Figure S3. </w:t>
      </w:r>
      <w:r>
        <w:rPr>
          <w:rFonts w:ascii="Times New Roman" w:eastAsia="宋体" w:hAnsi="Times New Roman" w:cs="Times New Roman" w:hint="eastAsia"/>
          <w:szCs w:val="21"/>
        </w:rPr>
        <w:t xml:space="preserve">DPV response of (a) the electrode interface in situ amplification and (b) homogeneous amplification and then immobilization on the electrode interface (miR-141 concentration: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). </w:t>
      </w:r>
      <w:bookmarkStart w:id="19" w:name="_Toc193283476"/>
    </w:p>
    <w:p w14:paraId="109956FA" w14:textId="77777777" w:rsidR="00D71AEF" w:rsidRDefault="00D71AEF">
      <w:pPr>
        <w:spacing w:afterLines="50" w:after="156" w:line="480" w:lineRule="auto"/>
        <w:rPr>
          <w:rFonts w:ascii="Times New Roman" w:eastAsia="宋体" w:hAnsi="Times New Roman" w:cs="Times New Roman"/>
          <w:szCs w:val="21"/>
        </w:rPr>
      </w:pPr>
    </w:p>
    <w:p w14:paraId="65AA7F5F" w14:textId="77777777" w:rsidR="00D71AEF" w:rsidRDefault="00D71AEF">
      <w:pPr>
        <w:spacing w:afterLines="50" w:after="156" w:line="480" w:lineRule="auto"/>
        <w:rPr>
          <w:rFonts w:ascii="Times New Roman" w:eastAsia="宋体" w:hAnsi="Times New Roman" w:cs="Times New Roman"/>
          <w:szCs w:val="21"/>
        </w:rPr>
      </w:pPr>
    </w:p>
    <w:p w14:paraId="58E55573" w14:textId="77777777" w:rsidR="00D71AEF" w:rsidRDefault="00D71AEF">
      <w:pPr>
        <w:spacing w:afterLines="50" w:after="156" w:line="480" w:lineRule="auto"/>
        <w:rPr>
          <w:rFonts w:ascii="Times New Roman" w:eastAsia="宋体" w:hAnsi="Times New Roman" w:cs="Times New Roman"/>
          <w:szCs w:val="21"/>
        </w:rPr>
      </w:pPr>
    </w:p>
    <w:p w14:paraId="710BF2DE" w14:textId="77777777" w:rsidR="00D71AEF" w:rsidRDefault="00000000">
      <w:pPr>
        <w:spacing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r>
        <w:rPr>
          <w:rFonts w:ascii="Times New Roman" w:eastAsia="等线" w:hAnsi="Times New Roman" w:cs="Times New Roman"/>
          <w:b/>
          <w:bCs/>
          <w:szCs w:val="24"/>
        </w:rPr>
        <w:br w:type="page"/>
      </w:r>
      <w:bookmarkStart w:id="20" w:name="_Toc2571"/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lastRenderedPageBreak/>
        <w:t>Control experiment using different amplification strategies</w:t>
      </w:r>
      <w:bookmarkStart w:id="21" w:name="_Toc193043045"/>
      <w:bookmarkStart w:id="22" w:name="_Toc193283471"/>
      <w:bookmarkStart w:id="23" w:name="_Toc188192858"/>
      <w:bookmarkEnd w:id="20"/>
    </w:p>
    <w:p w14:paraId="72712389" w14:textId="77777777" w:rsidR="00D71AEF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楷体_GB2312" w:hAnsi="Times New Roman" w:cs="Times New Roman" w:hint="eastAsia"/>
          <w:kern w:val="0"/>
          <w:szCs w:val="21"/>
        </w:rPr>
        <w:t>(1) O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nly the </w:t>
      </w:r>
      <w:r>
        <w:rPr>
          <w:rFonts w:ascii="Times New Roman" w:eastAsia="宋体" w:hAnsi="Times New Roman" w:cs="Times New Roman" w:hint="eastAsia"/>
          <w:szCs w:val="21"/>
        </w:rPr>
        <w:t xml:space="preserve">hairpin-structured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DNAzyme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-</w:t>
      </w:r>
      <w:r>
        <w:rPr>
          <w:rFonts w:ascii="Times New Roman" w:eastAsia="宋体" w:hAnsi="Times New Roman" w:cs="Times New Roman"/>
          <w:szCs w:val="21"/>
        </w:rPr>
        <w:t xml:space="preserve">assisted target </w:t>
      </w:r>
      <w:r>
        <w:rPr>
          <w:rFonts w:ascii="Times New Roman" w:eastAsia="宋体" w:hAnsi="Times New Roman" w:cs="Times New Roman"/>
          <w:bCs/>
          <w:szCs w:val="21"/>
        </w:rPr>
        <w:t>recycling</w:t>
      </w:r>
      <w:r>
        <w:rPr>
          <w:rFonts w:ascii="Times New Roman" w:eastAsia="宋体" w:hAnsi="Times New Roman" w:cs="Times New Roman"/>
          <w:szCs w:val="21"/>
        </w:rPr>
        <w:t xml:space="preserve"> amplification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(Cycle I)</w:t>
      </w:r>
      <w:bookmarkEnd w:id="21"/>
      <w:bookmarkEnd w:id="22"/>
      <w:bookmarkEnd w:id="23"/>
    </w:p>
    <w:p w14:paraId="796D2664" w14:textId="77777777" w:rsidR="00D71AEF" w:rsidRDefault="00000000">
      <w:pPr>
        <w:spacing w:line="480" w:lineRule="auto"/>
        <w:jc w:val="center"/>
      </w:pPr>
      <w:r>
        <w:rPr>
          <w:noProof/>
        </w:rPr>
        <w:drawing>
          <wp:inline distT="0" distB="0" distL="114300" distR="114300">
            <wp:extent cx="5039995" cy="2033270"/>
            <wp:effectExtent l="0" t="0" r="8255" b="508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3267" t="6547" r="5305" b="324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D29F" w14:textId="77777777" w:rsidR="00D71AEF" w:rsidRDefault="0000000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>Figure S4.</w:t>
      </w:r>
      <w:r>
        <w:rPr>
          <w:rFonts w:ascii="Times New Roman" w:eastAsia="宋体" w:hAnsi="Times New Roman" w:cs="Times New Roman" w:hint="eastAsia"/>
          <w:szCs w:val="21"/>
        </w:rPr>
        <w:t xml:space="preserve"> (A) DPV curves of this biosensor based on only the hairpin-structured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DNAzyme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-</w:t>
      </w:r>
      <w:r>
        <w:rPr>
          <w:rFonts w:ascii="Times New Roman" w:eastAsia="宋体" w:hAnsi="Times New Roman" w:cs="Times New Roman"/>
          <w:szCs w:val="21"/>
        </w:rPr>
        <w:t xml:space="preserve">assisted target </w:t>
      </w:r>
      <w:r>
        <w:rPr>
          <w:rFonts w:ascii="Times New Roman" w:eastAsia="宋体" w:hAnsi="Times New Roman" w:cs="Times New Roman"/>
          <w:bCs/>
          <w:szCs w:val="21"/>
        </w:rPr>
        <w:t>recycling</w:t>
      </w:r>
      <w:r>
        <w:rPr>
          <w:rFonts w:ascii="Times New Roman" w:eastAsia="宋体" w:hAnsi="Times New Roman" w:cs="Times New Roman"/>
          <w:szCs w:val="21"/>
        </w:rPr>
        <w:t xml:space="preserve"> amplification</w:t>
      </w:r>
      <w:r>
        <w:rPr>
          <w:rFonts w:ascii="Times New Roman" w:eastAsia="宋体" w:hAnsi="Times New Roman" w:cs="Times New Roman" w:hint="eastAsia"/>
          <w:szCs w:val="21"/>
        </w:rPr>
        <w:t xml:space="preserve"> (miR-141 concentrations: 0,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fM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fM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100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fM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and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nM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). (B) Corresponding calibration curve of peak currents versus the logarithm of miR-141 concentrations. Error bars indicate standard deviations from three repeated measurements.</w:t>
      </w:r>
    </w:p>
    <w:p w14:paraId="62AB072F" w14:textId="77777777" w:rsidR="00D71AEF" w:rsidRDefault="00000000">
      <w:pPr>
        <w:keepNext/>
        <w:keepLines/>
        <w:spacing w:line="480" w:lineRule="auto"/>
        <w:rPr>
          <w:rFonts w:ascii="Times New Roman" w:eastAsia="楷体_GB2312" w:hAnsi="Times New Roman" w:cs="Times New Roman"/>
          <w:kern w:val="0"/>
          <w:szCs w:val="21"/>
        </w:rPr>
      </w:pPr>
      <w:bookmarkStart w:id="24" w:name="_Toc27665"/>
      <w:bookmarkStart w:id="25" w:name="_Toc193043046"/>
      <w:bookmarkStart w:id="26" w:name="_Toc188192859"/>
      <w:bookmarkStart w:id="27" w:name="_Toc193283472"/>
      <w:r>
        <w:rPr>
          <w:rFonts w:ascii="Times New Roman" w:eastAsia="楷体_GB2312" w:hAnsi="Times New Roman" w:cs="Times New Roman" w:hint="eastAsia"/>
          <w:kern w:val="0"/>
          <w:szCs w:val="21"/>
        </w:rPr>
        <w:t>(2) O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nly the </w:t>
      </w:r>
      <w:r>
        <w:rPr>
          <w:rFonts w:ascii="Times New Roman" w:eastAsia="宋体" w:hAnsi="Times New Roman" w:cs="Times New Roman" w:hint="eastAsia"/>
          <w:szCs w:val="21"/>
        </w:rPr>
        <w:t>SHCR amplification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(Cycle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II</w:t>
      </w:r>
      <w:r>
        <w:rPr>
          <w:rFonts w:ascii="Times New Roman" w:eastAsia="楷体_GB2312" w:hAnsi="Times New Roman" w:cs="Times New Roman"/>
          <w:kern w:val="0"/>
          <w:szCs w:val="21"/>
        </w:rPr>
        <w:t>)</w:t>
      </w:r>
      <w:bookmarkEnd w:id="24"/>
    </w:p>
    <w:bookmarkEnd w:id="25"/>
    <w:bookmarkEnd w:id="26"/>
    <w:bookmarkEnd w:id="27"/>
    <w:p w14:paraId="563F85CB" w14:textId="77777777" w:rsidR="00D71AEF" w:rsidRDefault="00000000">
      <w:pPr>
        <w:spacing w:line="480" w:lineRule="auto"/>
        <w:jc w:val="center"/>
      </w:pPr>
      <w:r>
        <w:rPr>
          <w:noProof/>
        </w:rPr>
        <w:drawing>
          <wp:inline distT="0" distB="0" distL="114300" distR="114300">
            <wp:extent cx="5039995" cy="2107565"/>
            <wp:effectExtent l="0" t="0" r="825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l="3809" t="5085" r="5219" b="214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8FEA" w14:textId="77777777" w:rsidR="00D71AEF" w:rsidRDefault="00000000">
      <w:pPr>
        <w:spacing w:afterLines="50" w:after="156"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>Figure S5.</w:t>
      </w:r>
      <w:r>
        <w:rPr>
          <w:rFonts w:ascii="Times New Roman" w:eastAsia="宋体" w:hAnsi="Times New Roman" w:cs="Times New Roman" w:hint="eastAsia"/>
          <w:szCs w:val="21"/>
        </w:rPr>
        <w:t xml:space="preserve"> (A) DPV curves of this biosensor based on only the SHCR 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amplification(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 xml:space="preserve">miR-141 concentrations: 0,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fM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fM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100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fM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10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and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nM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). (B) Corresponding calibration curve of peak currents versus the logarithm of miR-141 concentrations. Error bars indicate </w:t>
      </w:r>
      <w:r>
        <w:rPr>
          <w:rFonts w:ascii="Times New Roman" w:eastAsia="宋体" w:hAnsi="Times New Roman" w:cs="Times New Roman" w:hint="eastAsia"/>
          <w:szCs w:val="21"/>
        </w:rPr>
        <w:lastRenderedPageBreak/>
        <w:t>standard deviations from three repeated measurements.</w:t>
      </w:r>
      <w:bookmarkStart w:id="28" w:name="_Toc193283474"/>
    </w:p>
    <w:p w14:paraId="3D29F5AD" w14:textId="77777777" w:rsidR="00D71AEF" w:rsidRDefault="00000000">
      <w:pPr>
        <w:spacing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29" w:name="_Toc31214"/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>Selectivity of Electrochemical Biosensor</w:t>
      </w:r>
      <w:bookmarkEnd w:id="28"/>
      <w:bookmarkEnd w:id="29"/>
    </w:p>
    <w:p w14:paraId="0DC2B662" w14:textId="77777777" w:rsidR="00D71AEF" w:rsidRDefault="00000000">
      <w:pPr>
        <w:spacing w:line="480" w:lineRule="auto"/>
        <w:jc w:val="center"/>
      </w:pPr>
      <w:r>
        <w:rPr>
          <w:noProof/>
        </w:rPr>
        <w:drawing>
          <wp:inline distT="0" distB="0" distL="114300" distR="114300" wp14:editId="797E34C2">
            <wp:extent cx="2879725" cy="2432050"/>
            <wp:effectExtent l="0" t="0" r="6350" b="635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6" t="7370" r="11281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B7A7D" w14:textId="77777777" w:rsidR="00D71AEF" w:rsidRDefault="00000000">
      <w:pPr>
        <w:spacing w:line="480" w:lineRule="auto"/>
      </w:pP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Figure S6. </w:t>
      </w:r>
      <w:r>
        <w:rPr>
          <w:rFonts w:ascii="Times New Roman" w:eastAsia="宋体" w:hAnsi="Times New Roman" w:cs="Times New Roman" w:hint="eastAsia"/>
          <w:szCs w:val="21"/>
        </w:rPr>
        <w:t>DPV curves of the biosensor in response to a. black</w:t>
      </w:r>
      <w:r>
        <w:rPr>
          <w:rFonts w:ascii="Times New Roman" w:eastAsia="宋体" w:hAnsi="Times New Roman" w:cs="Times New Roman" w:hint="eastAsia"/>
          <w:szCs w:val="21"/>
        </w:rPr>
        <w:t>；</w:t>
      </w:r>
      <w:r>
        <w:rPr>
          <w:rFonts w:ascii="Times New Roman" w:eastAsia="宋体" w:hAnsi="Times New Roman" w:cs="Times New Roman" w:hint="eastAsia"/>
          <w:szCs w:val="21"/>
        </w:rPr>
        <w:t xml:space="preserve">b.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survivin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mRNA; c. miR-34b; d. miR-34c; e. miR-122; f. miR-107; g. let-7a; h. miR-144;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i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. TK1 mRNA; j. mis141-1; k. mis141-3; l. miR-141; m. mixture (miR-141 concentration: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, other RNAs: 100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).</w:t>
      </w:r>
    </w:p>
    <w:p w14:paraId="5BF6B951" w14:textId="77777777" w:rsidR="00D71AEF" w:rsidRDefault="00000000">
      <w:pPr>
        <w:keepNext/>
        <w:keepLines/>
        <w:spacing w:beforeLines="50" w:before="156"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30" w:name="_Toc3054"/>
      <w:bookmarkStart w:id="31" w:name="_Toc193283475"/>
      <w:r>
        <w:rPr>
          <w:rFonts w:ascii="Times New Roman" w:eastAsia="楷体_GB2312" w:hAnsi="Times New Roman" w:cs="Times New Roman"/>
          <w:i/>
          <w:iCs/>
          <w:kern w:val="0"/>
          <w:szCs w:val="21"/>
        </w:rPr>
        <w:lastRenderedPageBreak/>
        <w:t>Reproducibility of</w:t>
      </w:r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 xml:space="preserve"> the S</w:t>
      </w:r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 xml:space="preserve"> DNA</w:t>
      </w:r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>-</w:t>
      </w:r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 xml:space="preserve">modified </w:t>
      </w:r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>e</w:t>
      </w:r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>lectrode</w:t>
      </w:r>
      <w:bookmarkEnd w:id="30"/>
      <w:bookmarkEnd w:id="31"/>
    </w:p>
    <w:p w14:paraId="23304334" w14:textId="77777777" w:rsidR="00D71AEF" w:rsidRDefault="00000000">
      <w:pPr>
        <w:keepNext/>
        <w:keepLines/>
        <w:spacing w:line="480" w:lineRule="auto"/>
        <w:jc w:val="center"/>
      </w:pPr>
      <w:r>
        <w:rPr>
          <w:noProof/>
        </w:rPr>
        <w:drawing>
          <wp:inline distT="0" distB="0" distL="114300" distR="114300" wp14:editId="573DD0C0">
            <wp:extent cx="2879725" cy="2413000"/>
            <wp:effectExtent l="0" t="0" r="6350" b="635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9330" r="12151" b="2450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EE627" w14:textId="77777777" w:rsidR="00D71AEF" w:rsidRDefault="00000000">
      <w:pPr>
        <w:keepNext/>
        <w:keepLines/>
        <w:spacing w:afterLines="50" w:after="156" w:line="480" w:lineRule="auto"/>
        <w:rPr>
          <w:rFonts w:ascii="Times New Roman" w:eastAsia="宋体" w:hAnsi="Times New Roman" w:cs="Times New Roman"/>
          <w:szCs w:val="21"/>
        </w:rPr>
      </w:pPr>
      <w:bookmarkStart w:id="32" w:name="_Toc10640"/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Figure S7. </w:t>
      </w:r>
      <w:r>
        <w:rPr>
          <w:rFonts w:ascii="Times New Roman" w:eastAsia="宋体" w:hAnsi="Times New Roman" w:cs="Times New Roman" w:hint="eastAsia"/>
          <w:szCs w:val="21"/>
        </w:rPr>
        <w:t xml:space="preserve">DPV curves of this biosensor response to five-batch-modified electrodes in the same condition, the concentration of miR-141 is 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.</w:t>
      </w:r>
      <w:bookmarkEnd w:id="32"/>
    </w:p>
    <w:p w14:paraId="3E202BDA" w14:textId="77777777" w:rsidR="00D71AEF" w:rsidRDefault="00000000">
      <w:pPr>
        <w:spacing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33" w:name="_Toc4006"/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 xml:space="preserve">Storage stability </w:t>
      </w:r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 xml:space="preserve">of </w:t>
      </w:r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>the S</w:t>
      </w:r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 xml:space="preserve"> DNA-modified</w:t>
      </w:r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 xml:space="preserve"> e</w:t>
      </w:r>
      <w:r>
        <w:rPr>
          <w:rFonts w:ascii="Times New Roman" w:eastAsia="楷体_GB2312" w:hAnsi="Times New Roman" w:cs="Times New Roman"/>
          <w:i/>
          <w:iCs/>
          <w:kern w:val="0"/>
          <w:szCs w:val="21"/>
        </w:rPr>
        <w:t>lectrode</w:t>
      </w:r>
      <w:bookmarkEnd w:id="19"/>
      <w:bookmarkEnd w:id="33"/>
    </w:p>
    <w:p w14:paraId="733F212F" w14:textId="77777777" w:rsidR="00D71AEF" w:rsidRDefault="00000000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039995" cy="2127250"/>
            <wp:effectExtent l="0" t="0" r="8255" b="635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903DB" w14:textId="77777777" w:rsidR="00D71AEF" w:rsidRDefault="00000000">
      <w:pPr>
        <w:spacing w:afterLines="50" w:after="156" w:line="480" w:lineRule="auto"/>
        <w:rPr>
          <w:rFonts w:ascii="Times New Roman" w:eastAsia="楷体_GB2312" w:hAnsi="Times New Roman" w:cs="Times New Roman"/>
          <w:kern w:val="0"/>
          <w:szCs w:val="21"/>
        </w:rPr>
      </w:pPr>
      <w:r>
        <w:rPr>
          <w:rFonts w:ascii="Times New Roman" w:eastAsia="楷体_GB2312" w:hAnsi="Times New Roman" w:cs="Times New Roman"/>
          <w:b/>
          <w:szCs w:val="21"/>
        </w:rPr>
        <w:t>Figure S</w:t>
      </w:r>
      <w:r>
        <w:rPr>
          <w:rFonts w:ascii="Times New Roman" w:eastAsia="楷体_GB2312" w:hAnsi="Times New Roman" w:cs="Times New Roman" w:hint="eastAsia"/>
          <w:b/>
          <w:szCs w:val="21"/>
        </w:rPr>
        <w:t>8</w:t>
      </w:r>
      <w:r>
        <w:rPr>
          <w:rFonts w:ascii="Times New Roman" w:eastAsia="楷体_GB2312" w:hAnsi="Times New Roman" w:cs="Times New Roman"/>
          <w:b/>
          <w:szCs w:val="21"/>
        </w:rPr>
        <w:t>.</w:t>
      </w:r>
      <w:r>
        <w:rPr>
          <w:rFonts w:ascii="Times New Roman" w:eastAsia="等线" w:hAnsi="Times New Roman" w:cs="Times New Roman"/>
          <w:b/>
          <w:bCs/>
          <w:kern w:val="0"/>
        </w:rPr>
        <w:t xml:space="preserve">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(A) 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DPV curves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 xml:space="preserve">and (B) peak current 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of the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S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DNA-immobilized electrodes stored for different days under 4 ℃ for the detection of miR-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141</w:t>
      </w:r>
      <w:r>
        <w:rPr>
          <w:rFonts w:ascii="Times New Roman" w:eastAsia="楷体_GB2312" w:hAnsi="Times New Roman" w:cs="Times New Roman"/>
          <w:kern w:val="0"/>
          <w:szCs w:val="21"/>
        </w:rPr>
        <w:t xml:space="preserve"> (</w:t>
      </w:r>
      <w:r>
        <w:rPr>
          <w:rFonts w:ascii="Times New Roman" w:eastAsia="宋体" w:hAnsi="Times New Roman" w:cs="Times New Roman" w:hint="eastAsia"/>
          <w:szCs w:val="21"/>
        </w:rPr>
        <w:t xml:space="preserve">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pM</w:t>
      </w:r>
      <w:proofErr w:type="spellEnd"/>
      <w:r>
        <w:rPr>
          <w:rFonts w:ascii="Times New Roman" w:eastAsia="楷体_GB2312" w:hAnsi="Times New Roman" w:cs="Times New Roman"/>
          <w:kern w:val="0"/>
          <w:szCs w:val="21"/>
        </w:rPr>
        <w:t xml:space="preserve">). </w:t>
      </w:r>
      <w:r>
        <w:rPr>
          <w:rFonts w:ascii="Times New Roman" w:eastAsia="楷体_GB2312" w:hAnsi="Times New Roman" w:cs="Times New Roman" w:hint="eastAsia"/>
          <w:kern w:val="0"/>
          <w:szCs w:val="21"/>
        </w:rPr>
        <w:t>Error bars indicate standard deviations from three repeated measurements.</w:t>
      </w:r>
    </w:p>
    <w:p w14:paraId="2145C519" w14:textId="77777777" w:rsidR="00D71AEF" w:rsidRDefault="00000000">
      <w:pPr>
        <w:keepNext/>
        <w:keepLines/>
        <w:spacing w:beforeLines="50" w:before="156"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34" w:name="_Toc193283477"/>
      <w:bookmarkStart w:id="35" w:name="_Toc191176404"/>
      <w:bookmarkStart w:id="36" w:name="_Toc31558"/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lastRenderedPageBreak/>
        <w:t xml:space="preserve">Spike-recovery experiments for miR-141 detection in </w:t>
      </w:r>
      <w:bookmarkEnd w:id="34"/>
      <w:bookmarkEnd w:id="35"/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>fetal bovine serum</w:t>
      </w:r>
      <w:bookmarkEnd w:id="36"/>
    </w:p>
    <w:p w14:paraId="0CA71013" w14:textId="77777777" w:rsidR="00D71AEF" w:rsidRDefault="00000000">
      <w:pPr>
        <w:keepNext/>
        <w:keepLines/>
        <w:spacing w:line="480" w:lineRule="auto"/>
        <w:jc w:val="center"/>
      </w:pPr>
      <w:r>
        <w:rPr>
          <w:noProof/>
        </w:rPr>
        <w:drawing>
          <wp:inline distT="0" distB="0" distL="114300" distR="114300" wp14:editId="60F5F827">
            <wp:extent cx="2879725" cy="2336800"/>
            <wp:effectExtent l="0" t="0" r="6350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1" t="8918" r="12151" b="452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06107" w14:textId="77777777" w:rsidR="00D71AEF" w:rsidRDefault="00000000">
      <w:pPr>
        <w:keepNext/>
        <w:keepLines/>
        <w:spacing w:afterLines="50" w:after="156" w:line="480" w:lineRule="auto"/>
        <w:jc w:val="center"/>
      </w:pPr>
      <w:bookmarkStart w:id="37" w:name="_Toc10303"/>
      <w:bookmarkStart w:id="38" w:name="_Toc12753"/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Figure S9. </w:t>
      </w:r>
      <w:r>
        <w:rPr>
          <w:rFonts w:ascii="Times New Roman" w:eastAsia="宋体" w:hAnsi="Times New Roman" w:cs="Times New Roman" w:hint="eastAsia"/>
          <w:szCs w:val="21"/>
        </w:rPr>
        <w:t xml:space="preserve">DPV </w:t>
      </w:r>
      <w:r>
        <w:rPr>
          <w:rFonts w:ascii="Times New Roman" w:eastAsia="楷体_GB2312" w:hAnsi="Times New Roman" w:cs="Times New Roman"/>
          <w:kern w:val="0"/>
          <w:szCs w:val="21"/>
        </w:rPr>
        <w:t>curves</w:t>
      </w:r>
      <w:r>
        <w:rPr>
          <w:rFonts w:ascii="Times New Roman" w:eastAsia="宋体" w:hAnsi="Times New Roman" w:cs="Times New Roman" w:hint="eastAsia"/>
          <w:szCs w:val="21"/>
        </w:rPr>
        <w:t xml:space="preserve"> of miR-141 detection in fetal bovine serum.</w:t>
      </w:r>
      <w:bookmarkEnd w:id="37"/>
      <w:bookmarkEnd w:id="38"/>
      <w:r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7536FEE4" w14:textId="77777777" w:rsidR="00D71AEF" w:rsidRDefault="00000000">
      <w:pPr>
        <w:keepNext/>
        <w:keepLines/>
        <w:spacing w:beforeLines="100" w:before="312" w:line="480" w:lineRule="auto"/>
        <w:outlineLvl w:val="1"/>
        <w:rPr>
          <w:rFonts w:ascii="Times New Roman" w:eastAsia="楷体_GB2312" w:hAnsi="Times New Roman" w:cs="Times New Roman"/>
          <w:i/>
          <w:iCs/>
          <w:kern w:val="0"/>
          <w:szCs w:val="21"/>
        </w:rPr>
      </w:pPr>
      <w:bookmarkStart w:id="39" w:name="_Toc5431"/>
      <w:r>
        <w:rPr>
          <w:rFonts w:ascii="Times New Roman" w:eastAsia="楷体_GB2312" w:hAnsi="Times New Roman" w:cs="Times New Roman" w:hint="eastAsia"/>
          <w:i/>
          <w:iCs/>
          <w:kern w:val="0"/>
          <w:szCs w:val="21"/>
        </w:rPr>
        <w:t>Detection of miR-141 in different cell lysates</w:t>
      </w:r>
      <w:bookmarkEnd w:id="39"/>
    </w:p>
    <w:p w14:paraId="59DD5741" w14:textId="77777777" w:rsidR="00D71AEF" w:rsidRDefault="00000000">
      <w:pPr>
        <w:jc w:val="center"/>
      </w:pPr>
      <w:r>
        <w:rPr>
          <w:noProof/>
        </w:rPr>
        <w:drawing>
          <wp:inline distT="0" distB="0" distL="114300" distR="114300" wp14:editId="6E056B65">
            <wp:extent cx="2879725" cy="2376805"/>
            <wp:effectExtent l="0" t="0" r="6350" b="444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6" t="8624" r="11086" b="3175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4C88" w14:textId="77777777" w:rsidR="00D71AEF" w:rsidRDefault="00000000">
      <w:pPr>
        <w:jc w:val="center"/>
      </w:pP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Figure S10. </w:t>
      </w:r>
      <w:r>
        <w:rPr>
          <w:rFonts w:ascii="Times New Roman" w:eastAsia="宋体" w:hAnsi="Times New Roman" w:cs="Times New Roman" w:hint="eastAsia"/>
          <w:szCs w:val="21"/>
        </w:rPr>
        <w:t xml:space="preserve">DPV </w:t>
      </w:r>
      <w:r>
        <w:rPr>
          <w:rFonts w:ascii="Times New Roman" w:eastAsia="楷体_GB2312" w:hAnsi="Times New Roman" w:cs="Times New Roman"/>
          <w:kern w:val="0"/>
          <w:szCs w:val="21"/>
        </w:rPr>
        <w:t>curves</w:t>
      </w:r>
      <w:r>
        <w:rPr>
          <w:rFonts w:ascii="Times New Roman" w:eastAsia="宋体" w:hAnsi="Times New Roman" w:cs="Times New Roman" w:hint="eastAsia"/>
          <w:szCs w:val="21"/>
        </w:rPr>
        <w:t xml:space="preserve"> of miR-141 expression levels in cell lysates. </w:t>
      </w:r>
    </w:p>
    <w:p w14:paraId="31A9B0CF" w14:textId="77777777" w:rsidR="00D71AEF" w:rsidRDefault="00D71AEF">
      <w:pPr>
        <w:jc w:val="center"/>
      </w:pPr>
    </w:p>
    <w:p w14:paraId="55F0BFE7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0FFEDE6F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3FA7EFD0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28A7CDD7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48906B53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67722E29" w14:textId="77777777" w:rsidR="00D71AEF" w:rsidRDefault="00000000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lastRenderedPageBreak/>
        <w:t>Table S1.</w:t>
      </w:r>
      <w:r>
        <w:rPr>
          <w:rFonts w:ascii="Times New Roman" w:eastAsia="宋体" w:hAnsi="Times New Roman" w:cs="Times New Roman" w:hint="eastAsia"/>
          <w:szCs w:val="21"/>
        </w:rPr>
        <w:t xml:space="preserve"> All the DNA oligonucleotide sequences involved in this work.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6439"/>
      </w:tblGrid>
      <w:tr w:rsidR="00D71AEF" w14:paraId="205A168E" w14:textId="77777777"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1C106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Name</w:t>
            </w:r>
          </w:p>
        </w:tc>
        <w:tc>
          <w:tcPr>
            <w:tcW w:w="6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6CCC3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Sequence (5′–3′)</w:t>
            </w:r>
          </w:p>
        </w:tc>
      </w:tr>
      <w:tr w:rsidR="00D71AEF" w14:paraId="67D533B5" w14:textId="77777777">
        <w:tc>
          <w:tcPr>
            <w:tcW w:w="2083" w:type="dxa"/>
            <w:tcBorders>
              <w:top w:val="single" w:sz="4" w:space="0" w:color="auto"/>
            </w:tcBorders>
            <w:vAlign w:val="center"/>
          </w:tcPr>
          <w:p w14:paraId="3B200487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</w:p>
        </w:tc>
        <w:tc>
          <w:tcPr>
            <w:tcW w:w="6439" w:type="dxa"/>
            <w:tcBorders>
              <w:top w:val="single" w:sz="4" w:space="0" w:color="auto"/>
            </w:tcBorders>
            <w:vAlign w:val="center"/>
          </w:tcPr>
          <w:p w14:paraId="565A78B2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CCATCTTTACCAGACAGTGTTAGCAGTTGATCCGCAGCTCTGTCTCCAAAGGATCAACTGCTAACACTGT</w:t>
            </w:r>
          </w:p>
        </w:tc>
      </w:tr>
      <w:tr w:rsidR="00D71AEF" w14:paraId="32DB4581" w14:textId="77777777">
        <w:tc>
          <w:tcPr>
            <w:tcW w:w="2083" w:type="dxa"/>
            <w:vAlign w:val="center"/>
          </w:tcPr>
          <w:p w14:paraId="792D87EF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miR-141</w:t>
            </w:r>
          </w:p>
        </w:tc>
        <w:tc>
          <w:tcPr>
            <w:tcW w:w="6439" w:type="dxa"/>
            <w:vAlign w:val="center"/>
          </w:tcPr>
          <w:p w14:paraId="62C4CC37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UAACACUGUCUGGUAAAGAUGG</w:t>
            </w:r>
          </w:p>
        </w:tc>
      </w:tr>
      <w:tr w:rsidR="00D71AEF" w14:paraId="2D613E8E" w14:textId="77777777">
        <w:tc>
          <w:tcPr>
            <w:tcW w:w="2083" w:type="dxa"/>
            <w:vAlign w:val="center"/>
          </w:tcPr>
          <w:p w14:paraId="21063271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L1</w:t>
            </w:r>
          </w:p>
        </w:tc>
        <w:tc>
          <w:tcPr>
            <w:tcW w:w="6439" w:type="dxa"/>
            <w:vAlign w:val="center"/>
          </w:tcPr>
          <w:p w14:paraId="05C9E4F5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TTTTTTTTTTGGAGCAGTTGATCCTTTGGAGACAGAGCTGC</w:t>
            </w:r>
          </w:p>
        </w:tc>
      </w:tr>
      <w:tr w:rsidR="00D71AEF" w14:paraId="7890DC34" w14:textId="77777777">
        <w:tc>
          <w:tcPr>
            <w:tcW w:w="2083" w:type="dxa"/>
            <w:vAlign w:val="center"/>
          </w:tcPr>
          <w:p w14:paraId="06A9A63B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L2</w:t>
            </w:r>
          </w:p>
        </w:tc>
        <w:tc>
          <w:tcPr>
            <w:tcW w:w="6439" w:type="dxa"/>
            <w:vAlign w:val="center"/>
          </w:tcPr>
          <w:p w14:paraId="355AD457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CAAAGGATCAACTGCTCCGAGCCGGTCGAAATAGTGGGTG</w:t>
            </w:r>
          </w:p>
        </w:tc>
      </w:tr>
      <w:tr w:rsidR="00D71AEF" w14:paraId="1211D26A" w14:textId="77777777">
        <w:tc>
          <w:tcPr>
            <w:tcW w:w="2083" w:type="dxa"/>
            <w:vAlign w:val="center"/>
          </w:tcPr>
          <w:p w14:paraId="685CA57C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H1</w:t>
            </w:r>
          </w:p>
        </w:tc>
        <w:tc>
          <w:tcPr>
            <w:tcW w:w="6439" w:type="dxa"/>
            <w:vAlign w:val="center"/>
          </w:tcPr>
          <w:p w14:paraId="454563C8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CCACCACATACTAAAACACCCACTAT/rA/GGCAGTTGATTTACGAGGCGGTGGTGGAGCCAGAC</w:t>
            </w:r>
          </w:p>
        </w:tc>
      </w:tr>
      <w:tr w:rsidR="00D71AEF" w14:paraId="2617AB36" w14:textId="77777777">
        <w:tc>
          <w:tcPr>
            <w:tcW w:w="2083" w:type="dxa"/>
            <w:vAlign w:val="center"/>
          </w:tcPr>
          <w:p w14:paraId="50C1EF6B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L3</w:t>
            </w:r>
          </w:p>
        </w:tc>
        <w:tc>
          <w:tcPr>
            <w:tcW w:w="6439" w:type="dxa"/>
            <w:vAlign w:val="center"/>
          </w:tcPr>
          <w:p w14:paraId="3B0ABD94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GGCAGTTGATTTACGAGGCGGTGGTGGAGCCAGAC</w:t>
            </w:r>
          </w:p>
        </w:tc>
      </w:tr>
      <w:tr w:rsidR="00D71AEF" w14:paraId="7CE7381A" w14:textId="77777777">
        <w:tc>
          <w:tcPr>
            <w:tcW w:w="2083" w:type="dxa"/>
            <w:vAlign w:val="center"/>
          </w:tcPr>
          <w:p w14:paraId="7510054A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L4</w:t>
            </w:r>
          </w:p>
        </w:tc>
        <w:tc>
          <w:tcPr>
            <w:tcW w:w="6439" w:type="dxa"/>
            <w:vAlign w:val="center"/>
          </w:tcPr>
          <w:p w14:paraId="02A7DD73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TCGATGTCTGGCTCCACCACCGC</w:t>
            </w:r>
          </w:p>
        </w:tc>
      </w:tr>
      <w:tr w:rsidR="00D71AEF" w14:paraId="5113D4A2" w14:textId="77777777">
        <w:tc>
          <w:tcPr>
            <w:tcW w:w="2083" w:type="dxa"/>
            <w:vAlign w:val="center"/>
          </w:tcPr>
          <w:p w14:paraId="4D60278C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L5-SH</w:t>
            </w:r>
          </w:p>
        </w:tc>
        <w:tc>
          <w:tcPr>
            <w:tcW w:w="6439" w:type="dxa"/>
            <w:vAlign w:val="center"/>
          </w:tcPr>
          <w:p w14:paraId="7CD9F834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SH-TTTTTGTCACTCGTCCGAATCAGCACT</w:t>
            </w:r>
          </w:p>
        </w:tc>
      </w:tr>
      <w:tr w:rsidR="00D71AEF" w14:paraId="21C7C7B8" w14:textId="77777777">
        <w:tc>
          <w:tcPr>
            <w:tcW w:w="2083" w:type="dxa"/>
            <w:vAlign w:val="center"/>
          </w:tcPr>
          <w:p w14:paraId="00D11A81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G4-H2</w:t>
            </w:r>
          </w:p>
        </w:tc>
        <w:tc>
          <w:tcPr>
            <w:tcW w:w="6439" w:type="dxa"/>
            <w:vAlign w:val="center"/>
          </w:tcPr>
          <w:p w14:paraId="70F27D8F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GGGTAGGGCGGGTTGGGTTTTTCTGGCTCCTGTGATTGTGCTTTACATCGGCACAATCACAGG</w:t>
            </w:r>
          </w:p>
        </w:tc>
      </w:tr>
      <w:tr w:rsidR="00D71AEF" w14:paraId="65897AA5" w14:textId="77777777">
        <w:tc>
          <w:tcPr>
            <w:tcW w:w="2083" w:type="dxa"/>
            <w:vAlign w:val="center"/>
          </w:tcPr>
          <w:p w14:paraId="0845AB19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G4-H3</w:t>
            </w:r>
          </w:p>
        </w:tc>
        <w:tc>
          <w:tcPr>
            <w:tcW w:w="6439" w:type="dxa"/>
            <w:vAlign w:val="center"/>
          </w:tcPr>
          <w:p w14:paraId="73C19BF8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GGGTAGGGCGGGTTGGGTTTTTGCACAATCACAGGAGCCAGTTTCCTGTGATTGTGCCGATGT</w:t>
            </w:r>
          </w:p>
        </w:tc>
      </w:tr>
      <w:tr w:rsidR="00D71AEF" w14:paraId="6BE8079F" w14:textId="77777777">
        <w:tc>
          <w:tcPr>
            <w:tcW w:w="2083" w:type="dxa"/>
            <w:vAlign w:val="center"/>
          </w:tcPr>
          <w:p w14:paraId="6632E807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P-SH</w:t>
            </w:r>
          </w:p>
        </w:tc>
        <w:tc>
          <w:tcPr>
            <w:tcW w:w="6439" w:type="dxa"/>
            <w:vAlign w:val="center"/>
          </w:tcPr>
          <w:p w14:paraId="49FC3773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CTAGAGCACAATCACAGGAGCCAGACATCGATTTTT-SH</w:t>
            </w:r>
          </w:p>
        </w:tc>
      </w:tr>
      <w:tr w:rsidR="00D71AEF" w14:paraId="4D2B2618" w14:textId="77777777">
        <w:tc>
          <w:tcPr>
            <w:tcW w:w="2083" w:type="dxa"/>
            <w:vAlign w:val="center"/>
          </w:tcPr>
          <w:p w14:paraId="3F795E97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S-SH</w:t>
            </w:r>
          </w:p>
        </w:tc>
        <w:tc>
          <w:tcPr>
            <w:tcW w:w="6439" w:type="dxa"/>
            <w:vAlign w:val="center"/>
          </w:tcPr>
          <w:p w14:paraId="2E2E9C33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SH-TTTTTAGTGCTGATTCGGACGAGTGTC</w:t>
            </w:r>
          </w:p>
        </w:tc>
      </w:tr>
      <w:tr w:rsidR="00D71AEF" w14:paraId="289AA3E1" w14:textId="77777777">
        <w:tc>
          <w:tcPr>
            <w:tcW w:w="2083" w:type="dxa"/>
            <w:vAlign w:val="center"/>
          </w:tcPr>
          <w:p w14:paraId="0B615132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one-base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mismatched miR-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141</w:t>
            </w:r>
          </w:p>
        </w:tc>
        <w:tc>
          <w:tcPr>
            <w:tcW w:w="6439" w:type="dxa"/>
            <w:vAlign w:val="center"/>
          </w:tcPr>
          <w:p w14:paraId="2F74A2E9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UAACACU</w:t>
            </w:r>
            <w:r>
              <w:rPr>
                <w:rFonts w:ascii="Times New Roman" w:eastAsia="宋体" w:hAnsi="Times New Roman" w:cs="Times New Roman"/>
                <w:color w:val="FF0000"/>
                <w:kern w:val="0"/>
                <w:szCs w:val="21"/>
                <w:u w:val="single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UCUGGUAAAGAUGG</w:t>
            </w:r>
          </w:p>
        </w:tc>
      </w:tr>
      <w:tr w:rsidR="00D71AEF" w14:paraId="4AADC29F" w14:textId="77777777">
        <w:tc>
          <w:tcPr>
            <w:tcW w:w="2083" w:type="dxa"/>
            <w:vAlign w:val="center"/>
          </w:tcPr>
          <w:p w14:paraId="4F8DC368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three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-base mismatched miR-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141</w:t>
            </w:r>
          </w:p>
        </w:tc>
        <w:tc>
          <w:tcPr>
            <w:tcW w:w="6439" w:type="dxa"/>
            <w:vAlign w:val="center"/>
          </w:tcPr>
          <w:p w14:paraId="0C8E505D" w14:textId="77777777" w:rsidR="00D71AEF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UAACACU</w:t>
            </w:r>
            <w:r>
              <w:rPr>
                <w:rFonts w:ascii="Times New Roman" w:eastAsia="宋体" w:hAnsi="Times New Roman" w:cs="Times New Roman" w:hint="eastAsia"/>
                <w:color w:val="FF0000"/>
                <w:kern w:val="0"/>
                <w:szCs w:val="21"/>
                <w:u w:val="single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UCUG</w:t>
            </w:r>
            <w:r>
              <w:rPr>
                <w:rFonts w:ascii="Times New Roman" w:eastAsia="宋体" w:hAnsi="Times New Roman" w:cs="Times New Roman" w:hint="eastAsia"/>
                <w:color w:val="FF0000"/>
                <w:kern w:val="0"/>
                <w:szCs w:val="21"/>
                <w:u w:val="single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UAAAGAUG</w:t>
            </w:r>
            <w:r>
              <w:rPr>
                <w:rFonts w:ascii="Times New Roman" w:eastAsia="宋体" w:hAnsi="Times New Roman" w:cs="Times New Roman" w:hint="eastAsia"/>
                <w:color w:val="FF0000"/>
                <w:kern w:val="0"/>
                <w:szCs w:val="21"/>
                <w:u w:val="single"/>
                <w:lang w:bidi="ar"/>
              </w:rPr>
              <w:t>C</w:t>
            </w:r>
          </w:p>
        </w:tc>
      </w:tr>
    </w:tbl>
    <w:p w14:paraId="07102881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11EE8F12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07F34D7B" w14:textId="77777777" w:rsidR="00D71AEF" w:rsidRDefault="00000000">
      <w:pPr>
        <w:spacing w:line="480" w:lineRule="auto"/>
        <w:rPr>
          <w:rFonts w:ascii="Times New Roman" w:eastAsia="等线" w:hAnsi="Times New Roman" w:cs="Times New Roman"/>
          <w:szCs w:val="24"/>
        </w:rPr>
      </w:pPr>
      <w:r>
        <w:rPr>
          <w:rFonts w:ascii="Times New Roman" w:eastAsia="等线" w:hAnsi="Times New Roman" w:cs="Times New Roman"/>
          <w:b/>
          <w:bCs/>
          <w:szCs w:val="24"/>
        </w:rPr>
        <w:t>Table S</w:t>
      </w:r>
      <w:r>
        <w:rPr>
          <w:rFonts w:ascii="Times New Roman" w:eastAsia="等线" w:hAnsi="Times New Roman" w:cs="Times New Roman" w:hint="eastAsia"/>
          <w:b/>
          <w:bCs/>
          <w:szCs w:val="24"/>
        </w:rPr>
        <w:t xml:space="preserve">2. </w:t>
      </w:r>
      <w:r>
        <w:rPr>
          <w:rFonts w:ascii="Times New Roman" w:eastAsia="等线" w:hAnsi="Times New Roman" w:cs="Times New Roman" w:hint="eastAsia"/>
          <w:szCs w:val="24"/>
        </w:rPr>
        <w:t>E</w:t>
      </w:r>
      <w:r>
        <w:rPr>
          <w:rFonts w:ascii="Times New Roman" w:eastAsia="等线" w:hAnsi="Times New Roman" w:cs="Times New Roman"/>
          <w:szCs w:val="24"/>
        </w:rPr>
        <w:t>lectron-transfer resistance (</w:t>
      </w:r>
      <w:r>
        <w:rPr>
          <w:rFonts w:ascii="Times New Roman" w:eastAsia="等线" w:hAnsi="Times New Roman" w:cs="Times New Roman"/>
          <w:i/>
          <w:iCs/>
          <w:szCs w:val="24"/>
        </w:rPr>
        <w:t>R</w:t>
      </w:r>
      <w:r>
        <w:rPr>
          <w:rFonts w:ascii="Times New Roman" w:eastAsia="等线" w:hAnsi="Times New Roman" w:cs="Times New Roman" w:hint="eastAsia"/>
          <w:i/>
          <w:iCs/>
          <w:szCs w:val="24"/>
          <w:vertAlign w:val="subscript"/>
        </w:rPr>
        <w:t>e</w:t>
      </w:r>
      <w:r>
        <w:rPr>
          <w:rFonts w:ascii="Times New Roman" w:eastAsia="等线" w:hAnsi="Times New Roman" w:cs="Times New Roman"/>
          <w:i/>
          <w:iCs/>
          <w:szCs w:val="24"/>
          <w:vertAlign w:val="subscript"/>
        </w:rPr>
        <w:t>t</w:t>
      </w:r>
      <w:r>
        <w:rPr>
          <w:rFonts w:ascii="Times New Roman" w:eastAsia="等线" w:hAnsi="Times New Roman" w:cs="Times New Roman"/>
          <w:szCs w:val="24"/>
        </w:rPr>
        <w:t>) values obtained from EIS measurements during the stepwise electrode modification process.</w:t>
      </w: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3651"/>
      </w:tblGrid>
      <w:tr w:rsidR="00D71AEF" w14:paraId="2DDCD974" w14:textId="77777777">
        <w:tc>
          <w:tcPr>
            <w:tcW w:w="2858" w:type="pct"/>
            <w:tcBorders>
              <w:bottom w:val="single" w:sz="4" w:space="0" w:color="auto"/>
            </w:tcBorders>
            <w:vAlign w:val="center"/>
          </w:tcPr>
          <w:p w14:paraId="1BF0140B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Electrode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643DB1DA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i/>
                <w:iCs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b/>
                <w:i/>
                <w:iCs/>
                <w:szCs w:val="21"/>
                <w:vertAlign w:val="subscript"/>
              </w:rPr>
              <w:t>e</w:t>
            </w:r>
            <w:r>
              <w:rPr>
                <w:rFonts w:ascii="Times New Roman" w:eastAsia="宋体" w:hAnsi="Times New Roman" w:cs="Times New Roman"/>
                <w:b/>
                <w:i/>
                <w:iCs/>
                <w:szCs w:val="21"/>
                <w:vertAlign w:val="subscript"/>
              </w:rPr>
              <w:t>t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 xml:space="preserve"> (Ω)</w:t>
            </w:r>
          </w:p>
        </w:tc>
      </w:tr>
      <w:tr w:rsidR="00D71AEF" w14:paraId="0F8261DA" w14:textId="77777777">
        <w:tc>
          <w:tcPr>
            <w:tcW w:w="2858" w:type="pct"/>
            <w:tcBorders>
              <w:bottom w:val="nil"/>
            </w:tcBorders>
            <w:vAlign w:val="center"/>
          </w:tcPr>
          <w:p w14:paraId="0C8F0824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</w:rPr>
              <w:t>AuE</w:t>
            </w:r>
            <w:proofErr w:type="spellEnd"/>
          </w:p>
        </w:tc>
        <w:tc>
          <w:tcPr>
            <w:tcW w:w="2142" w:type="pct"/>
            <w:tcBorders>
              <w:bottom w:val="nil"/>
            </w:tcBorders>
            <w:vAlign w:val="center"/>
          </w:tcPr>
          <w:p w14:paraId="66380E1D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170.2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3.9317</w:t>
            </w:r>
          </w:p>
        </w:tc>
      </w:tr>
      <w:tr w:rsidR="00D71AEF" w14:paraId="74BE2A6A" w14:textId="77777777">
        <w:tc>
          <w:tcPr>
            <w:tcW w:w="2858" w:type="pct"/>
            <w:tcBorders>
              <w:top w:val="nil"/>
              <w:bottom w:val="nil"/>
            </w:tcBorders>
            <w:vAlign w:val="center"/>
          </w:tcPr>
          <w:p w14:paraId="17F0B094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S/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</w:rPr>
              <w:t>AuE</w:t>
            </w:r>
            <w:proofErr w:type="spellEnd"/>
          </w:p>
        </w:tc>
        <w:tc>
          <w:tcPr>
            <w:tcW w:w="2142" w:type="pct"/>
            <w:tcBorders>
              <w:top w:val="nil"/>
              <w:bottom w:val="nil"/>
            </w:tcBorders>
            <w:vAlign w:val="center"/>
          </w:tcPr>
          <w:p w14:paraId="07B2E314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8954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87.919</w:t>
            </w:r>
          </w:p>
        </w:tc>
      </w:tr>
      <w:tr w:rsidR="00D71AEF" w14:paraId="1BCC2E02" w14:textId="77777777">
        <w:tc>
          <w:tcPr>
            <w:tcW w:w="2858" w:type="pct"/>
            <w:tcBorders>
              <w:top w:val="nil"/>
              <w:bottom w:val="nil"/>
            </w:tcBorders>
            <w:vAlign w:val="center"/>
          </w:tcPr>
          <w:p w14:paraId="3E6E0E88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MCH/S/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</w:rPr>
              <w:t>AuE</w:t>
            </w:r>
            <w:proofErr w:type="spellEnd"/>
          </w:p>
        </w:tc>
        <w:tc>
          <w:tcPr>
            <w:tcW w:w="2142" w:type="pct"/>
            <w:tcBorders>
              <w:top w:val="nil"/>
              <w:bottom w:val="nil"/>
            </w:tcBorders>
            <w:vAlign w:val="center"/>
          </w:tcPr>
          <w:p w14:paraId="1F305226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19,769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103.73</w:t>
            </w:r>
          </w:p>
        </w:tc>
      </w:tr>
      <w:tr w:rsidR="00D71AEF" w14:paraId="06611491" w14:textId="77777777">
        <w:tc>
          <w:tcPr>
            <w:tcW w:w="2858" w:type="pct"/>
            <w:tcBorders>
              <w:top w:val="nil"/>
            </w:tcBorders>
            <w:vAlign w:val="center"/>
          </w:tcPr>
          <w:p w14:paraId="030DD108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GM-SHCR/MCH/S/</w:t>
            </w:r>
            <w:proofErr w:type="spellStart"/>
            <w:r>
              <w:rPr>
                <w:rFonts w:ascii="Times New Roman" w:eastAsia="宋体" w:hAnsi="Times New Roman" w:cs="Times New Roman"/>
                <w:bCs/>
                <w:szCs w:val="21"/>
              </w:rPr>
              <w:t>AuE</w:t>
            </w:r>
            <w:proofErr w:type="spellEnd"/>
          </w:p>
        </w:tc>
        <w:tc>
          <w:tcPr>
            <w:tcW w:w="2142" w:type="pct"/>
            <w:tcBorders>
              <w:top w:val="nil"/>
            </w:tcBorders>
            <w:vAlign w:val="center"/>
          </w:tcPr>
          <w:p w14:paraId="4418CC44" w14:textId="77777777" w:rsidR="00D71AEF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25,167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209.18</w:t>
            </w:r>
          </w:p>
        </w:tc>
      </w:tr>
    </w:tbl>
    <w:p w14:paraId="555EAA35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2BB4A18D" w14:textId="77777777" w:rsidR="00D71AEF" w:rsidRDefault="00D71AEF">
      <w:pPr>
        <w:spacing w:line="480" w:lineRule="auto"/>
        <w:rPr>
          <w:rFonts w:ascii="Times New Roman" w:eastAsia="等线" w:hAnsi="Times New Roman" w:cs="Times New Roman"/>
          <w:b/>
          <w:bCs/>
          <w:szCs w:val="24"/>
        </w:rPr>
      </w:pPr>
    </w:p>
    <w:p w14:paraId="4BA66016" w14:textId="77777777" w:rsidR="00D71AEF" w:rsidRDefault="00000000">
      <w:pPr>
        <w:spacing w:line="480" w:lineRule="auto"/>
        <w:rPr>
          <w:rFonts w:ascii="Times New Roman" w:eastAsia="等线" w:hAnsi="Times New Roman" w:cs="Times New Roman"/>
          <w:b/>
          <w:bCs/>
          <w:szCs w:val="21"/>
          <w:lang w:bidi="ar"/>
        </w:rPr>
      </w:pPr>
      <w:r>
        <w:rPr>
          <w:rFonts w:ascii="Times New Roman" w:eastAsia="等线" w:hAnsi="Times New Roman" w:cs="Times New Roman"/>
          <w:b/>
          <w:bCs/>
          <w:szCs w:val="24"/>
        </w:rPr>
        <w:lastRenderedPageBreak/>
        <w:t>Table S</w:t>
      </w:r>
      <w:r>
        <w:rPr>
          <w:rFonts w:ascii="Times New Roman" w:eastAsia="等线" w:hAnsi="Times New Roman" w:cs="Times New Roman" w:hint="eastAsia"/>
          <w:b/>
          <w:bCs/>
          <w:szCs w:val="24"/>
        </w:rPr>
        <w:t>3.</w:t>
      </w:r>
      <w:r>
        <w:rPr>
          <w:rFonts w:ascii="Times New Roman" w:eastAsia="等线" w:hAnsi="Times New Roman" w:cs="Times New Roman" w:hint="eastAsia"/>
          <w:szCs w:val="24"/>
        </w:rPr>
        <w:t xml:space="preserve"> Comparison of this work with other cascaded amplification strategies</w:t>
      </w:r>
    </w:p>
    <w:tbl>
      <w:tblPr>
        <w:tblStyle w:val="21"/>
        <w:tblW w:w="0" w:type="auto"/>
        <w:tblInd w:w="0" w:type="dxa"/>
        <w:tblBorders>
          <w:bottom w:val="single" w:sz="4" w:space="0" w:color="7E7E7E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562"/>
        <w:gridCol w:w="2746"/>
        <w:gridCol w:w="1696"/>
        <w:gridCol w:w="1292"/>
      </w:tblGrid>
      <w:tr w:rsidR="00D71AEF" w14:paraId="51B139D5" w14:textId="77777777" w:rsidTr="00D71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48C0F8DE" w14:textId="77777777" w:rsidR="00D71AEF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br w:type="page"/>
            </w:r>
            <w:proofErr w:type="spellStart"/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nalytical</w:t>
            </w:r>
            <w:proofErr w:type="spellEnd"/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 xml:space="preserve"> Method</w:t>
            </w:r>
          </w:p>
        </w:tc>
        <w:tc>
          <w:tcPr>
            <w:tcW w:w="2746" w:type="dxa"/>
            <w:vAlign w:val="center"/>
          </w:tcPr>
          <w:p w14:paraId="2E18446D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mplification Strategy</w:t>
            </w:r>
          </w:p>
        </w:tc>
        <w:tc>
          <w:tcPr>
            <w:tcW w:w="1696" w:type="dxa"/>
            <w:vAlign w:val="center"/>
          </w:tcPr>
          <w:p w14:paraId="7405D306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 xml:space="preserve">Detection </w:t>
            </w: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L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imit</w:t>
            </w:r>
          </w:p>
        </w:tc>
        <w:tc>
          <w:tcPr>
            <w:tcW w:w="1292" w:type="dxa"/>
            <w:vAlign w:val="center"/>
          </w:tcPr>
          <w:p w14:paraId="1E7D8DAF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Ref.</w:t>
            </w:r>
          </w:p>
        </w:tc>
      </w:tr>
      <w:tr w:rsidR="00D71AEF" w14:paraId="6998BA57" w14:textId="77777777" w:rsidTr="00D71AEF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top w:val="single" w:sz="4" w:space="0" w:color="7E7E7E"/>
              <w:bottom w:val="nil"/>
            </w:tcBorders>
            <w:vAlign w:val="center"/>
          </w:tcPr>
          <w:p w14:paraId="17047041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Electrochemistry</w:t>
            </w:r>
          </w:p>
        </w:tc>
        <w:tc>
          <w:tcPr>
            <w:tcW w:w="2746" w:type="dxa"/>
            <w:tcBorders>
              <w:top w:val="single" w:sz="4" w:space="0" w:color="7E7E7E"/>
              <w:bottom w:val="nil"/>
            </w:tcBorders>
            <w:vAlign w:val="center"/>
          </w:tcPr>
          <w:p w14:paraId="20533938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CTSDR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HCR</w:t>
            </w:r>
          </w:p>
        </w:tc>
        <w:tc>
          <w:tcPr>
            <w:tcW w:w="1696" w:type="dxa"/>
            <w:tcBorders>
              <w:top w:val="single" w:sz="4" w:space="0" w:color="7E7E7E"/>
              <w:bottom w:val="nil"/>
            </w:tcBorders>
            <w:vAlign w:val="center"/>
          </w:tcPr>
          <w:p w14:paraId="33C6D763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0.43fM</w:t>
            </w:r>
          </w:p>
        </w:tc>
        <w:tc>
          <w:tcPr>
            <w:tcW w:w="1292" w:type="dxa"/>
            <w:tcBorders>
              <w:top w:val="single" w:sz="4" w:space="0" w:color="7E7E7E"/>
              <w:bottom w:val="nil"/>
            </w:tcBorders>
            <w:vAlign w:val="center"/>
          </w:tcPr>
          <w:p w14:paraId="6E41B3B9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</w:t>
            </w:r>
          </w:p>
        </w:tc>
      </w:tr>
      <w:tr w:rsidR="00D71AEF" w14:paraId="6257B587" w14:textId="77777777" w:rsidTr="00D71AEF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23317872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Electrochemistry</w:t>
            </w:r>
          </w:p>
        </w:tc>
        <w:tc>
          <w:tcPr>
            <w:tcW w:w="2746" w:type="dxa"/>
            <w:vAlign w:val="center"/>
          </w:tcPr>
          <w:p w14:paraId="3BE662EA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MNAzyme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CHA</w:t>
            </w:r>
          </w:p>
        </w:tc>
        <w:tc>
          <w:tcPr>
            <w:tcW w:w="1696" w:type="dxa"/>
            <w:vAlign w:val="center"/>
          </w:tcPr>
          <w:p w14:paraId="106D7903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0.36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fM</w:t>
            </w:r>
            <w:proofErr w:type="spellEnd"/>
          </w:p>
        </w:tc>
        <w:tc>
          <w:tcPr>
            <w:tcW w:w="1292" w:type="dxa"/>
            <w:vAlign w:val="center"/>
          </w:tcPr>
          <w:p w14:paraId="52C81EF0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</w:t>
            </w:r>
          </w:p>
        </w:tc>
      </w:tr>
      <w:tr w:rsidR="00D71AEF" w14:paraId="58BE505B" w14:textId="77777777" w:rsidTr="00D71AEF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top w:val="nil"/>
              <w:bottom w:val="nil"/>
            </w:tcBorders>
            <w:vAlign w:val="center"/>
          </w:tcPr>
          <w:p w14:paraId="59DBDBCD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Electrochemistry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center"/>
          </w:tcPr>
          <w:p w14:paraId="628C268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CHA-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DNAzyme</w:t>
            </w:r>
            <w:proofErr w:type="spellEnd"/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14:paraId="35B002AF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2.5fM</w:t>
            </w:r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3C63B909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S3</w:t>
            </w:r>
          </w:p>
        </w:tc>
      </w:tr>
      <w:tr w:rsidR="00D71AEF" w14:paraId="127E0D97" w14:textId="77777777" w:rsidTr="00D71AEF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181D94D8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lectrochemical</w:t>
            </w:r>
          </w:p>
        </w:tc>
        <w:tc>
          <w:tcPr>
            <w:tcW w:w="2746" w:type="dxa"/>
            <w:vAlign w:val="center"/>
          </w:tcPr>
          <w:p w14:paraId="41E3D785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HCR-Exo III</w:t>
            </w:r>
          </w:p>
        </w:tc>
        <w:tc>
          <w:tcPr>
            <w:tcW w:w="1696" w:type="dxa"/>
            <w:vAlign w:val="center"/>
          </w:tcPr>
          <w:p w14:paraId="5CCFD3D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0.15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fM</w:t>
            </w:r>
            <w:proofErr w:type="spellEnd"/>
          </w:p>
        </w:tc>
        <w:tc>
          <w:tcPr>
            <w:tcW w:w="1292" w:type="dxa"/>
            <w:vAlign w:val="center"/>
          </w:tcPr>
          <w:p w14:paraId="2BFFE196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S4</w:t>
            </w:r>
          </w:p>
        </w:tc>
      </w:tr>
      <w:tr w:rsidR="00D71AEF" w14:paraId="499F1B1D" w14:textId="77777777" w:rsidTr="00D71AEF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top w:val="nil"/>
              <w:bottom w:val="nil"/>
            </w:tcBorders>
            <w:vAlign w:val="center"/>
          </w:tcPr>
          <w:p w14:paraId="08DC0205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  <w:t>Photoelectrochemical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center"/>
          </w:tcPr>
          <w:p w14:paraId="7B463B13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EXPAR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CRISPR/Cas12a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14:paraId="5055501F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0.92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fM</w:t>
            </w:r>
            <w:proofErr w:type="spellEnd"/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73EF97CA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S5</w:t>
            </w:r>
          </w:p>
        </w:tc>
      </w:tr>
      <w:tr w:rsidR="00D71AEF" w14:paraId="6234B638" w14:textId="77777777" w:rsidTr="00D71AEF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77E015C0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electrochemiluminescence</w:t>
            </w:r>
          </w:p>
        </w:tc>
        <w:tc>
          <w:tcPr>
            <w:tcW w:w="2746" w:type="dxa"/>
            <w:vAlign w:val="center"/>
          </w:tcPr>
          <w:p w14:paraId="6AAF6E5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3D DNA walker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RCA</w:t>
            </w:r>
          </w:p>
        </w:tc>
        <w:tc>
          <w:tcPr>
            <w:tcW w:w="1696" w:type="dxa"/>
            <w:vAlign w:val="center"/>
          </w:tcPr>
          <w:p w14:paraId="672A03A8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0.14 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fM</w:t>
            </w:r>
            <w:proofErr w:type="spellEnd"/>
          </w:p>
        </w:tc>
        <w:tc>
          <w:tcPr>
            <w:tcW w:w="1292" w:type="dxa"/>
            <w:vAlign w:val="center"/>
          </w:tcPr>
          <w:p w14:paraId="51DB395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S6</w:t>
            </w:r>
          </w:p>
        </w:tc>
      </w:tr>
      <w:tr w:rsidR="00D71AEF" w14:paraId="5E1E5B73" w14:textId="77777777" w:rsidTr="00D71AEF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top w:val="nil"/>
              <w:bottom w:val="nil"/>
            </w:tcBorders>
            <w:vAlign w:val="center"/>
          </w:tcPr>
          <w:p w14:paraId="1B3F71D7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Fluorescence</w:t>
            </w:r>
          </w:p>
        </w:tc>
        <w:tc>
          <w:tcPr>
            <w:tcW w:w="2746" w:type="dxa"/>
            <w:tcBorders>
              <w:top w:val="nil"/>
              <w:bottom w:val="nil"/>
            </w:tcBorders>
            <w:vAlign w:val="center"/>
          </w:tcPr>
          <w:p w14:paraId="6BFF035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DNAzyme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-CHA</w:t>
            </w:r>
          </w:p>
        </w:tc>
        <w:tc>
          <w:tcPr>
            <w:tcW w:w="1696" w:type="dxa"/>
            <w:tcBorders>
              <w:top w:val="nil"/>
              <w:bottom w:val="nil"/>
            </w:tcBorders>
            <w:vAlign w:val="center"/>
          </w:tcPr>
          <w:p w14:paraId="31312B2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 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fM</w:t>
            </w:r>
            <w:proofErr w:type="spellEnd"/>
            <w:proofErr w:type="gramEnd"/>
          </w:p>
        </w:tc>
        <w:tc>
          <w:tcPr>
            <w:tcW w:w="1292" w:type="dxa"/>
            <w:tcBorders>
              <w:top w:val="nil"/>
              <w:bottom w:val="nil"/>
            </w:tcBorders>
            <w:vAlign w:val="center"/>
          </w:tcPr>
          <w:p w14:paraId="46524B44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S7</w:t>
            </w:r>
          </w:p>
        </w:tc>
      </w:tr>
      <w:tr w:rsidR="00D71AEF" w14:paraId="1C5A9554" w14:textId="77777777" w:rsidTr="00D71AEF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4DA72C42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Fluorescence</w:t>
            </w:r>
          </w:p>
        </w:tc>
        <w:tc>
          <w:tcPr>
            <w:tcW w:w="2746" w:type="dxa"/>
            <w:vAlign w:val="center"/>
          </w:tcPr>
          <w:p w14:paraId="2159C5E2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DNAzyme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CHA</w:t>
            </w:r>
          </w:p>
        </w:tc>
        <w:tc>
          <w:tcPr>
            <w:tcW w:w="1696" w:type="dxa"/>
            <w:vAlign w:val="center"/>
          </w:tcPr>
          <w:p w14:paraId="0C0923C8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5.4pM</w:t>
            </w:r>
          </w:p>
        </w:tc>
        <w:tc>
          <w:tcPr>
            <w:tcW w:w="1292" w:type="dxa"/>
            <w:vAlign w:val="center"/>
          </w:tcPr>
          <w:p w14:paraId="55AE575E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S8</w:t>
            </w:r>
          </w:p>
        </w:tc>
      </w:tr>
      <w:tr w:rsidR="00D71AEF" w14:paraId="57567E51" w14:textId="77777777" w:rsidTr="00D71AEF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tcBorders>
              <w:top w:val="nil"/>
              <w:bottom w:val="single" w:sz="4" w:space="0" w:color="7E7E7E"/>
            </w:tcBorders>
            <w:vAlign w:val="center"/>
          </w:tcPr>
          <w:p w14:paraId="5A1F8BBC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Electrochemistry</w:t>
            </w:r>
          </w:p>
        </w:tc>
        <w:tc>
          <w:tcPr>
            <w:tcW w:w="2746" w:type="dxa"/>
            <w:tcBorders>
              <w:top w:val="nil"/>
              <w:bottom w:val="single" w:sz="4" w:space="0" w:color="7E7E7E"/>
            </w:tcBorders>
            <w:vAlign w:val="center"/>
          </w:tcPr>
          <w:p w14:paraId="07408B6F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DNAzyme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-SHCR</w:t>
            </w:r>
          </w:p>
        </w:tc>
        <w:tc>
          <w:tcPr>
            <w:tcW w:w="1696" w:type="dxa"/>
            <w:tcBorders>
              <w:top w:val="nil"/>
              <w:bottom w:val="single" w:sz="4" w:space="0" w:color="7E7E7E"/>
            </w:tcBorders>
            <w:vAlign w:val="center"/>
          </w:tcPr>
          <w:p w14:paraId="5231D686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18.8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aM</w:t>
            </w:r>
            <w:proofErr w:type="spellEnd"/>
          </w:p>
        </w:tc>
        <w:tc>
          <w:tcPr>
            <w:tcW w:w="1292" w:type="dxa"/>
            <w:tcBorders>
              <w:top w:val="nil"/>
              <w:bottom w:val="single" w:sz="4" w:space="0" w:color="7E7E7E"/>
            </w:tcBorders>
            <w:vAlign w:val="center"/>
          </w:tcPr>
          <w:p w14:paraId="5CFFAB2B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This work</w:t>
            </w:r>
          </w:p>
        </w:tc>
      </w:tr>
    </w:tbl>
    <w:p w14:paraId="2C38C045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Cs w:val="21"/>
        </w:rPr>
      </w:pPr>
    </w:p>
    <w:p w14:paraId="1834DE8D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Cs w:val="21"/>
        </w:rPr>
      </w:pPr>
    </w:p>
    <w:p w14:paraId="3F4A85A3" w14:textId="77777777" w:rsidR="00D71AEF" w:rsidRDefault="00000000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>Table S4.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Spike-recovery experiments for miR-</w:t>
      </w:r>
      <w:r>
        <w:rPr>
          <w:rFonts w:ascii="Times New Roman" w:eastAsia="宋体" w:hAnsi="Times New Roman" w:cs="Times New Roman" w:hint="eastAsia"/>
          <w:szCs w:val="21"/>
        </w:rPr>
        <w:t>141</w:t>
      </w:r>
      <w:r>
        <w:rPr>
          <w:rFonts w:ascii="Times New Roman" w:eastAsia="宋体" w:hAnsi="Times New Roman" w:cs="Times New Roman"/>
          <w:szCs w:val="21"/>
        </w:rPr>
        <w:t xml:space="preserve"> detection in 10% </w:t>
      </w:r>
      <w:r>
        <w:rPr>
          <w:rFonts w:ascii="Times New Roman" w:eastAsia="宋体" w:hAnsi="Times New Roman" w:cs="Times New Roman" w:hint="eastAsia"/>
          <w:szCs w:val="21"/>
        </w:rPr>
        <w:t>fetal bovine serum</w:t>
      </w:r>
    </w:p>
    <w:tbl>
      <w:tblPr>
        <w:tblStyle w:val="21"/>
        <w:tblW w:w="0" w:type="auto"/>
        <w:tblInd w:w="0" w:type="dxa"/>
        <w:tblBorders>
          <w:bottom w:val="single" w:sz="4" w:space="0" w:color="7E7E7E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68"/>
        <w:gridCol w:w="1550"/>
        <w:gridCol w:w="1689"/>
        <w:gridCol w:w="2252"/>
        <w:gridCol w:w="1547"/>
      </w:tblGrid>
      <w:tr w:rsidR="00D71AEF" w14:paraId="4F2BDE0F" w14:textId="77777777" w:rsidTr="00D71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</w:tcPr>
          <w:p w14:paraId="28F5A3D2" w14:textId="77777777" w:rsidR="00D71AEF" w:rsidRDefault="00000000">
            <w:pP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S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amples</w:t>
            </w:r>
          </w:p>
        </w:tc>
        <w:tc>
          <w:tcPr>
            <w:tcW w:w="1550" w:type="dxa"/>
          </w:tcPr>
          <w:p w14:paraId="729A6E73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A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dded</w:t>
            </w:r>
          </w:p>
        </w:tc>
        <w:tc>
          <w:tcPr>
            <w:tcW w:w="1689" w:type="dxa"/>
          </w:tcPr>
          <w:p w14:paraId="298C36B4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F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ound</w:t>
            </w:r>
          </w:p>
        </w:tc>
        <w:tc>
          <w:tcPr>
            <w:tcW w:w="2252" w:type="dxa"/>
          </w:tcPr>
          <w:p w14:paraId="031B53DD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1"/>
              </w:rPr>
              <w:t>R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ecovery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%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547" w:type="dxa"/>
          </w:tcPr>
          <w:p w14:paraId="4A6CE8CD" w14:textId="77777777" w:rsidR="00D71AEF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RSD(</w:t>
            </w:r>
            <w:proofErr w:type="gramStart"/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%,n</w:t>
            </w:r>
            <w:proofErr w:type="gramEnd"/>
            <w:r>
              <w:rPr>
                <w:rFonts w:ascii="Times New Roman" w:eastAsia="Times New Roman" w:hAnsi="Times New Roman" w:cs="Times New Roman" w:hint="eastAsia"/>
                <w:kern w:val="0"/>
                <w:szCs w:val="21"/>
              </w:rPr>
              <w:t>=3)</w:t>
            </w:r>
          </w:p>
        </w:tc>
      </w:tr>
      <w:tr w:rsidR="00D71AEF" w14:paraId="10BC1E10" w14:textId="77777777" w:rsidTr="00D71A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tcBorders>
              <w:top w:val="single" w:sz="4" w:space="0" w:color="7E7E7E"/>
              <w:bottom w:val="nil"/>
            </w:tcBorders>
          </w:tcPr>
          <w:p w14:paraId="60F2D145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1</w:t>
            </w:r>
          </w:p>
        </w:tc>
        <w:tc>
          <w:tcPr>
            <w:tcW w:w="1550" w:type="dxa"/>
            <w:tcBorders>
              <w:top w:val="single" w:sz="4" w:space="0" w:color="7E7E7E"/>
              <w:bottom w:val="nil"/>
            </w:tcBorders>
          </w:tcPr>
          <w:p w14:paraId="5E532C84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pM</w:t>
            </w:r>
          </w:p>
        </w:tc>
        <w:tc>
          <w:tcPr>
            <w:tcW w:w="1689" w:type="dxa"/>
            <w:tcBorders>
              <w:top w:val="single" w:sz="4" w:space="0" w:color="7E7E7E"/>
              <w:bottom w:val="nil"/>
            </w:tcBorders>
          </w:tcPr>
          <w:p w14:paraId="37DFA5BC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94.52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pM</w:t>
            </w:r>
            <w:proofErr w:type="spellEnd"/>
          </w:p>
        </w:tc>
        <w:tc>
          <w:tcPr>
            <w:tcW w:w="2252" w:type="dxa"/>
            <w:tcBorders>
              <w:top w:val="single" w:sz="4" w:space="0" w:color="7E7E7E"/>
              <w:bottom w:val="nil"/>
            </w:tcBorders>
          </w:tcPr>
          <w:p w14:paraId="19E5F8B6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94.52</w:t>
            </w:r>
          </w:p>
        </w:tc>
        <w:tc>
          <w:tcPr>
            <w:tcW w:w="1547" w:type="dxa"/>
            <w:tcBorders>
              <w:top w:val="single" w:sz="4" w:space="0" w:color="7E7E7E"/>
              <w:bottom w:val="nil"/>
            </w:tcBorders>
          </w:tcPr>
          <w:p w14:paraId="268328AC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1.26</w:t>
            </w:r>
          </w:p>
        </w:tc>
      </w:tr>
      <w:tr w:rsidR="00D71AEF" w14:paraId="67FA9343" w14:textId="77777777" w:rsidTr="00D71A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</w:tcPr>
          <w:p w14:paraId="1BD9FB8B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2</w:t>
            </w:r>
          </w:p>
        </w:tc>
        <w:tc>
          <w:tcPr>
            <w:tcW w:w="1550" w:type="dxa"/>
          </w:tcPr>
          <w:p w14:paraId="1493D206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pM</w:t>
            </w:r>
            <w:proofErr w:type="spellEnd"/>
          </w:p>
        </w:tc>
        <w:tc>
          <w:tcPr>
            <w:tcW w:w="1689" w:type="dxa"/>
          </w:tcPr>
          <w:p w14:paraId="05ECF172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1.175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pM</w:t>
            </w:r>
            <w:proofErr w:type="spellEnd"/>
          </w:p>
        </w:tc>
        <w:tc>
          <w:tcPr>
            <w:tcW w:w="2252" w:type="dxa"/>
          </w:tcPr>
          <w:p w14:paraId="6DF75DE8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117.47</w:t>
            </w:r>
          </w:p>
        </w:tc>
        <w:tc>
          <w:tcPr>
            <w:tcW w:w="1547" w:type="dxa"/>
          </w:tcPr>
          <w:p w14:paraId="45DA6FA9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0.62</w:t>
            </w:r>
          </w:p>
        </w:tc>
      </w:tr>
      <w:tr w:rsidR="00D71AEF" w14:paraId="693CF556" w14:textId="77777777" w:rsidTr="00D71A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8" w:type="dxa"/>
            <w:tcBorders>
              <w:top w:val="nil"/>
              <w:bottom w:val="single" w:sz="4" w:space="0" w:color="auto"/>
            </w:tcBorders>
          </w:tcPr>
          <w:p w14:paraId="12F06E9F" w14:textId="77777777" w:rsidR="00D71AEF" w:rsidRDefault="00000000">
            <w:pPr>
              <w:jc w:val="center"/>
              <w:rPr>
                <w:rFonts w:ascii="Times New Roman" w:eastAsia="宋体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Cs w:val="21"/>
              </w:rPr>
              <w:t>3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</w:tcPr>
          <w:p w14:paraId="2CD09837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100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</w:t>
            </w:r>
            <w:proofErr w:type="spellEnd"/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</w:tcPr>
          <w:p w14:paraId="596C3046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97.60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</w:t>
            </w:r>
            <w:proofErr w:type="spellEnd"/>
          </w:p>
        </w:tc>
        <w:tc>
          <w:tcPr>
            <w:tcW w:w="2252" w:type="dxa"/>
            <w:tcBorders>
              <w:top w:val="nil"/>
              <w:bottom w:val="single" w:sz="4" w:space="0" w:color="auto"/>
            </w:tcBorders>
          </w:tcPr>
          <w:p w14:paraId="2684D369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97.60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</w:tcPr>
          <w:p w14:paraId="50AF1EC9" w14:textId="77777777" w:rsidR="00D71AEF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1.37</w:t>
            </w:r>
          </w:p>
        </w:tc>
      </w:tr>
    </w:tbl>
    <w:p w14:paraId="629CC8CB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3D00ACF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F3B72BA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6AD2702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BBE3E9C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C74BA11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512FE62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4B5D822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F3164B8" w14:textId="77777777" w:rsidR="00D71AEF" w:rsidRDefault="00D71AEF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4F1D4EA" w14:textId="77777777" w:rsidR="00D71AEF" w:rsidRDefault="00000000">
      <w:pPr>
        <w:pStyle w:val="Scilight21heading1"/>
      </w:pPr>
      <w:r>
        <w:rPr>
          <w:rFonts w:eastAsia="宋体" w:hint="eastAsia"/>
        </w:rPr>
        <w:lastRenderedPageBreak/>
        <w:t>References</w:t>
      </w:r>
    </w:p>
    <w:p w14:paraId="5C81E867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S1. </w:t>
      </w:r>
      <w:r>
        <w:rPr>
          <w:rFonts w:ascii="Times New Roman" w:eastAsia="等线" w:hAnsi="Times New Roman" w:cs="Times New Roman"/>
          <w:sz w:val="18"/>
        </w:rPr>
        <w:t>Cheng, W.; Pan, H.; Chen, J.</w:t>
      </w:r>
      <w:r>
        <w:rPr>
          <w:rFonts w:ascii="Times New Roman" w:eastAsia="等线" w:hAnsi="Times New Roman" w:cs="Times New Roman" w:hint="eastAsia"/>
          <w:sz w:val="18"/>
        </w:rPr>
        <w:t>;</w:t>
      </w:r>
      <w:r>
        <w:rPr>
          <w:rFonts w:ascii="Times New Roman" w:eastAsia="等线" w:hAnsi="Times New Roman" w:cs="Times New Roman"/>
          <w:sz w:val="18"/>
        </w:rPr>
        <w:t xml:space="preserve"> et al. Enzyme-free and triple sensitivity amplification for electrochemical detection of </w:t>
      </w:r>
      <w:proofErr w:type="spellStart"/>
      <w:r>
        <w:rPr>
          <w:rFonts w:ascii="Times New Roman" w:eastAsia="等线" w:hAnsi="Times New Roman" w:cs="Times New Roman"/>
          <w:sz w:val="18"/>
        </w:rPr>
        <w:t>exosomal</w:t>
      </w:r>
      <w:proofErr w:type="spellEnd"/>
      <w:r>
        <w:rPr>
          <w:rFonts w:ascii="Times New Roman" w:eastAsia="等线" w:hAnsi="Times New Roman" w:cs="Times New Roman"/>
          <w:sz w:val="18"/>
        </w:rPr>
        <w:t xml:space="preserve"> microRNA. </w:t>
      </w:r>
      <w:r>
        <w:rPr>
          <w:rFonts w:ascii="Times New Roman" w:eastAsia="等线" w:hAnsi="Times New Roman" w:cs="Times New Roman"/>
          <w:i/>
          <w:sz w:val="18"/>
        </w:rPr>
        <w:t xml:space="preserve">Anal. Chem. </w:t>
      </w:r>
      <w:r>
        <w:rPr>
          <w:rFonts w:ascii="Times New Roman" w:eastAsia="等线" w:hAnsi="Times New Roman" w:cs="Times New Roman"/>
          <w:b/>
          <w:sz w:val="18"/>
        </w:rPr>
        <w:t>2025</w:t>
      </w:r>
      <w:r>
        <w:rPr>
          <w:rFonts w:ascii="Times New Roman" w:eastAsia="等线" w:hAnsi="Times New Roman" w:cs="Times New Roman"/>
          <w:i/>
          <w:sz w:val="18"/>
        </w:rPr>
        <w:t>, 97</w:t>
      </w:r>
      <w:r>
        <w:rPr>
          <w:rFonts w:ascii="Times New Roman" w:eastAsia="等线" w:hAnsi="Times New Roman" w:cs="Times New Roman"/>
          <w:sz w:val="18"/>
        </w:rPr>
        <w:t>, 5244–5250.</w:t>
      </w:r>
    </w:p>
    <w:p w14:paraId="7EBD979F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S2. </w:t>
      </w:r>
      <w:r>
        <w:rPr>
          <w:rFonts w:ascii="Times New Roman" w:eastAsia="等线" w:hAnsi="Times New Roman" w:cs="Times New Roman"/>
          <w:sz w:val="18"/>
        </w:rPr>
        <w:t>Xie, X.; Chen, P.; Wang, J.; et al</w:t>
      </w:r>
      <w:r>
        <w:rPr>
          <w:rFonts w:ascii="Times New Roman" w:eastAsia="等线" w:hAnsi="Times New Roman" w:cs="Times New Roman" w:hint="eastAsia"/>
          <w:sz w:val="18"/>
        </w:rPr>
        <w:t>.</w:t>
      </w:r>
      <w:r>
        <w:rPr>
          <w:rFonts w:ascii="Times New Roman" w:eastAsia="等线" w:hAnsi="Times New Roman" w:cs="Times New Roman"/>
          <w:sz w:val="18"/>
        </w:rPr>
        <w:t xml:space="preserve"> A high-efficiency electrochemical biosensor based on </w:t>
      </w:r>
      <w:proofErr w:type="spellStart"/>
      <w:r>
        <w:rPr>
          <w:rFonts w:ascii="Times New Roman" w:eastAsia="等线" w:hAnsi="Times New Roman" w:cs="Times New Roman"/>
          <w:sz w:val="18"/>
        </w:rPr>
        <w:t>AuNPs@Zr-MOF</w:t>
      </w:r>
      <w:proofErr w:type="spellEnd"/>
      <w:r>
        <w:rPr>
          <w:rFonts w:ascii="Times New Roman" w:eastAsia="等线" w:hAnsi="Times New Roman" w:cs="Times New Roman"/>
          <w:sz w:val="18"/>
        </w:rPr>
        <w:t xml:space="preserve"> and enzyme-free cascade signal amplification for microRNA detection. </w:t>
      </w:r>
      <w:r>
        <w:rPr>
          <w:rFonts w:ascii="Times New Roman" w:eastAsia="等线" w:hAnsi="Times New Roman" w:cs="Times New Roman"/>
          <w:i/>
          <w:sz w:val="18"/>
        </w:rPr>
        <w:t xml:space="preserve">Sensor </w:t>
      </w:r>
      <w:proofErr w:type="spellStart"/>
      <w:r>
        <w:rPr>
          <w:rFonts w:ascii="Times New Roman" w:eastAsia="等线" w:hAnsi="Times New Roman" w:cs="Times New Roman"/>
          <w:i/>
          <w:sz w:val="18"/>
        </w:rPr>
        <w:t>Actuat</w:t>
      </w:r>
      <w:proofErr w:type="spellEnd"/>
      <w:r>
        <w:rPr>
          <w:rFonts w:ascii="Times New Roman" w:eastAsia="等线" w:hAnsi="Times New Roman" w:cs="Times New Roman"/>
          <w:i/>
          <w:sz w:val="18"/>
        </w:rPr>
        <w:t xml:space="preserve"> B</w:t>
      </w:r>
      <w:r>
        <w:rPr>
          <w:rFonts w:ascii="Times New Roman" w:eastAsia="等线" w:hAnsi="Times New Roman" w:cs="Times New Roman" w:hint="eastAsia"/>
          <w:i/>
          <w:sz w:val="18"/>
        </w:rPr>
        <w:t>-</w:t>
      </w:r>
      <w:r>
        <w:rPr>
          <w:rFonts w:ascii="Times New Roman" w:eastAsia="等线" w:hAnsi="Times New Roman" w:cs="Times New Roman"/>
          <w:i/>
          <w:sz w:val="18"/>
        </w:rPr>
        <w:t xml:space="preserve">Chem. </w:t>
      </w:r>
      <w:r>
        <w:rPr>
          <w:rFonts w:ascii="Times New Roman" w:eastAsia="等线" w:hAnsi="Times New Roman" w:cs="Times New Roman"/>
          <w:b/>
          <w:sz w:val="18"/>
        </w:rPr>
        <w:t>2025</w:t>
      </w:r>
      <w:r>
        <w:rPr>
          <w:rFonts w:ascii="Times New Roman" w:eastAsia="等线" w:hAnsi="Times New Roman" w:cs="Times New Roman"/>
          <w:i/>
          <w:sz w:val="18"/>
        </w:rPr>
        <w:t>, 445</w:t>
      </w:r>
      <w:r>
        <w:rPr>
          <w:rFonts w:ascii="Times New Roman" w:eastAsia="等线" w:hAnsi="Times New Roman" w:cs="Times New Roman"/>
          <w:sz w:val="18"/>
        </w:rPr>
        <w:t>, 138609.</w:t>
      </w:r>
    </w:p>
    <w:p w14:paraId="4A6EB7A8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S3. </w:t>
      </w:r>
      <w:r>
        <w:rPr>
          <w:rFonts w:ascii="Times New Roman" w:eastAsia="等线" w:hAnsi="Times New Roman" w:cs="Times New Roman"/>
          <w:sz w:val="18"/>
        </w:rPr>
        <w:t xml:space="preserve">Yang, H.; Jin, Y.; Qian, H.; et al. Target-driven cascade amplified assembly of covalent organic frameworks on tetrahedral DNA nanostructure with multiplex recognition domains for ultrasensitive detection of microRNA. </w:t>
      </w:r>
      <w:r>
        <w:rPr>
          <w:rFonts w:ascii="Times New Roman" w:eastAsia="等线" w:hAnsi="Times New Roman" w:cs="Times New Roman"/>
          <w:i/>
          <w:sz w:val="18"/>
        </w:rPr>
        <w:t xml:space="preserve">Anal. Chim. Acta. </w:t>
      </w:r>
      <w:r>
        <w:rPr>
          <w:rFonts w:ascii="Times New Roman" w:eastAsia="等线" w:hAnsi="Times New Roman" w:cs="Times New Roman"/>
          <w:b/>
          <w:sz w:val="18"/>
        </w:rPr>
        <w:t>2024</w:t>
      </w:r>
      <w:r>
        <w:rPr>
          <w:rFonts w:ascii="Times New Roman" w:eastAsia="等线" w:hAnsi="Times New Roman" w:cs="Times New Roman"/>
          <w:i/>
          <w:sz w:val="18"/>
        </w:rPr>
        <w:t>, 1311</w:t>
      </w:r>
      <w:r>
        <w:rPr>
          <w:rFonts w:ascii="Times New Roman" w:eastAsia="等线" w:hAnsi="Times New Roman" w:cs="Times New Roman"/>
          <w:sz w:val="18"/>
        </w:rPr>
        <w:t>,</w:t>
      </w:r>
      <w:r>
        <w:rPr>
          <w:rFonts w:ascii="Times New Roman" w:eastAsia="等线" w:hAnsi="Times New Roman" w:cs="Times New Roman" w:hint="eastAsia"/>
          <w:sz w:val="18"/>
        </w:rPr>
        <w:t xml:space="preserve"> </w:t>
      </w:r>
      <w:r>
        <w:rPr>
          <w:rFonts w:ascii="Times New Roman" w:eastAsia="等线" w:hAnsi="Times New Roman" w:cs="Times New Roman"/>
          <w:sz w:val="18"/>
        </w:rPr>
        <w:t xml:space="preserve">342743. </w:t>
      </w:r>
    </w:p>
    <w:p w14:paraId="14887C7A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S4. </w:t>
      </w:r>
      <w:r>
        <w:rPr>
          <w:rFonts w:ascii="Times New Roman" w:eastAsia="等线" w:hAnsi="Times New Roman" w:cs="Times New Roman"/>
          <w:sz w:val="18"/>
        </w:rPr>
        <w:t>Shao, H.; Xue, X.; Sun, Z.</w:t>
      </w:r>
      <w:r>
        <w:rPr>
          <w:rFonts w:ascii="Times New Roman" w:eastAsia="等线" w:hAnsi="Times New Roman" w:cs="Times New Roman" w:hint="eastAsia"/>
          <w:sz w:val="18"/>
        </w:rPr>
        <w:t xml:space="preserve">; et al. </w:t>
      </w:r>
      <w:r>
        <w:rPr>
          <w:rFonts w:ascii="Times New Roman" w:eastAsia="等线" w:hAnsi="Times New Roman" w:cs="Times New Roman"/>
          <w:sz w:val="18"/>
        </w:rPr>
        <w:t xml:space="preserve">Detection of microRNA-21 based on smartly designed </w:t>
      </w:r>
      <w:proofErr w:type="spellStart"/>
      <w:r>
        <w:rPr>
          <w:rFonts w:ascii="Times New Roman" w:eastAsia="等线" w:hAnsi="Times New Roman" w:cs="Times New Roman"/>
          <w:sz w:val="18"/>
        </w:rPr>
        <w:t>ratiometric</w:t>
      </w:r>
      <w:proofErr w:type="spellEnd"/>
      <w:r>
        <w:rPr>
          <w:rFonts w:ascii="Times New Roman" w:eastAsia="等线" w:hAnsi="Times New Roman" w:cs="Times New Roman"/>
          <w:sz w:val="18"/>
        </w:rPr>
        <w:t xml:space="preserve"> electrochemical sensor and dual-signal amplification. </w:t>
      </w:r>
      <w:r>
        <w:rPr>
          <w:rFonts w:ascii="Times New Roman" w:eastAsia="等线" w:hAnsi="Times New Roman" w:cs="Times New Roman"/>
          <w:i/>
          <w:sz w:val="18"/>
        </w:rPr>
        <w:t xml:space="preserve">Anal. Chim. Acta. </w:t>
      </w:r>
      <w:r>
        <w:rPr>
          <w:rFonts w:ascii="Times New Roman" w:eastAsia="等线" w:hAnsi="Times New Roman" w:cs="Times New Roman"/>
          <w:b/>
          <w:sz w:val="18"/>
        </w:rPr>
        <w:t>2025</w:t>
      </w:r>
      <w:r>
        <w:rPr>
          <w:rFonts w:ascii="Times New Roman" w:eastAsia="等线" w:hAnsi="Times New Roman" w:cs="Times New Roman"/>
          <w:i/>
          <w:sz w:val="18"/>
        </w:rPr>
        <w:t>, 1336</w:t>
      </w:r>
      <w:r>
        <w:rPr>
          <w:rFonts w:ascii="Times New Roman" w:eastAsia="等线" w:hAnsi="Times New Roman" w:cs="Times New Roman"/>
          <w:sz w:val="18"/>
        </w:rPr>
        <w:t>,</w:t>
      </w:r>
      <w:r>
        <w:rPr>
          <w:rFonts w:ascii="Noto Sans SC" w:eastAsia="Noto Sans SC" w:hAnsi="Noto Sans SC" w:cs="Times New Roman"/>
          <w:color w:val="555555"/>
          <w:sz w:val="18"/>
          <w:szCs w:val="21"/>
          <w:shd w:val="clear" w:color="auto" w:fill="FFFFFF"/>
        </w:rPr>
        <w:t xml:space="preserve"> </w:t>
      </w:r>
      <w:r>
        <w:rPr>
          <w:rFonts w:ascii="Times New Roman" w:eastAsia="等线" w:hAnsi="Times New Roman" w:cs="Times New Roman"/>
          <w:sz w:val="18"/>
        </w:rPr>
        <w:t xml:space="preserve">343444. </w:t>
      </w:r>
    </w:p>
    <w:p w14:paraId="531C22FF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S5. </w:t>
      </w:r>
      <w:r>
        <w:rPr>
          <w:rFonts w:ascii="Times New Roman" w:eastAsia="等线" w:hAnsi="Times New Roman" w:cs="Times New Roman"/>
          <w:sz w:val="18"/>
        </w:rPr>
        <w:t xml:space="preserve">Zhang, L.; Zhang, L.; Liu, D.; et al. Exponential amplification reaction assisted CRISPR/Cas12a target-induced polarity switching photoelectrochemical biosensor for miRNA-622 detection. </w:t>
      </w:r>
      <w:r>
        <w:rPr>
          <w:rFonts w:ascii="Times New Roman" w:eastAsia="等线" w:hAnsi="Times New Roman" w:cs="Times New Roman"/>
          <w:i/>
          <w:sz w:val="18"/>
        </w:rPr>
        <w:t xml:space="preserve">Sensor </w:t>
      </w:r>
      <w:proofErr w:type="spellStart"/>
      <w:r>
        <w:rPr>
          <w:rFonts w:ascii="Times New Roman" w:eastAsia="等线" w:hAnsi="Times New Roman" w:cs="Times New Roman"/>
          <w:i/>
          <w:sz w:val="18"/>
        </w:rPr>
        <w:t>Actuat</w:t>
      </w:r>
      <w:proofErr w:type="spellEnd"/>
      <w:r>
        <w:rPr>
          <w:rFonts w:ascii="Times New Roman" w:eastAsia="等线" w:hAnsi="Times New Roman" w:cs="Times New Roman"/>
          <w:i/>
          <w:sz w:val="18"/>
        </w:rPr>
        <w:t xml:space="preserve"> B</w:t>
      </w:r>
      <w:r>
        <w:rPr>
          <w:rFonts w:ascii="Times New Roman" w:eastAsia="等线" w:hAnsi="Times New Roman" w:cs="Times New Roman" w:hint="eastAsia"/>
          <w:i/>
          <w:sz w:val="18"/>
        </w:rPr>
        <w:t>-</w:t>
      </w:r>
      <w:r>
        <w:rPr>
          <w:rFonts w:ascii="Times New Roman" w:eastAsia="等线" w:hAnsi="Times New Roman" w:cs="Times New Roman"/>
          <w:i/>
          <w:sz w:val="18"/>
        </w:rPr>
        <w:t xml:space="preserve">Chem. </w:t>
      </w:r>
      <w:r>
        <w:rPr>
          <w:rFonts w:ascii="Times New Roman" w:eastAsia="等线" w:hAnsi="Times New Roman" w:cs="Times New Roman"/>
          <w:b/>
          <w:sz w:val="18"/>
        </w:rPr>
        <w:t>2025</w:t>
      </w:r>
      <w:r>
        <w:rPr>
          <w:rFonts w:ascii="Times New Roman" w:eastAsia="等线" w:hAnsi="Times New Roman" w:cs="Times New Roman"/>
          <w:i/>
          <w:sz w:val="18"/>
        </w:rPr>
        <w:t>, 436</w:t>
      </w:r>
      <w:r>
        <w:rPr>
          <w:rFonts w:ascii="Times New Roman" w:eastAsia="等线" w:hAnsi="Times New Roman" w:cs="Times New Roman"/>
          <w:sz w:val="18"/>
        </w:rPr>
        <w:t>,</w:t>
      </w:r>
      <w:r>
        <w:rPr>
          <w:rFonts w:ascii="Times New Roman" w:eastAsia="等线" w:hAnsi="Times New Roman" w:cs="Times New Roman" w:hint="eastAsia"/>
          <w:sz w:val="18"/>
        </w:rPr>
        <w:t xml:space="preserve"> </w:t>
      </w:r>
      <w:r>
        <w:rPr>
          <w:rFonts w:ascii="Times New Roman" w:eastAsia="等线" w:hAnsi="Times New Roman" w:cs="Times New Roman"/>
          <w:sz w:val="18"/>
        </w:rPr>
        <w:t xml:space="preserve">137723. </w:t>
      </w:r>
    </w:p>
    <w:p w14:paraId="79775FD5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S6. </w:t>
      </w:r>
      <w:r>
        <w:rPr>
          <w:rFonts w:ascii="Times New Roman" w:eastAsia="等线" w:hAnsi="Times New Roman" w:cs="Times New Roman"/>
          <w:sz w:val="18"/>
        </w:rPr>
        <w:t>Shen, T.; Yu, H.; Xu, X.; et al.</w:t>
      </w:r>
      <w:r>
        <w:rPr>
          <w:rFonts w:ascii="Times New Roman" w:eastAsia="等线" w:hAnsi="Times New Roman" w:cs="Times New Roman" w:hint="eastAsia"/>
          <w:sz w:val="18"/>
        </w:rPr>
        <w:t xml:space="preserve"> </w:t>
      </w:r>
      <w:r>
        <w:rPr>
          <w:rFonts w:ascii="Times New Roman" w:eastAsia="等线" w:hAnsi="Times New Roman" w:cs="Times New Roman"/>
          <w:sz w:val="18"/>
        </w:rPr>
        <w:t xml:space="preserve">Bimetallic nanoclusters and dual-amplification tactic: an ultrasensitive electrochemiluminescence biosensor for miRNA-21 detection. </w:t>
      </w:r>
      <w:r>
        <w:rPr>
          <w:rFonts w:ascii="Times New Roman" w:eastAsia="等线" w:hAnsi="Times New Roman" w:cs="Times New Roman"/>
          <w:i/>
          <w:sz w:val="18"/>
        </w:rPr>
        <w:t xml:space="preserve">Anal. </w:t>
      </w:r>
      <w:proofErr w:type="spellStart"/>
      <w:r>
        <w:rPr>
          <w:rFonts w:ascii="Times New Roman" w:eastAsia="等线" w:hAnsi="Times New Roman" w:cs="Times New Roman"/>
          <w:i/>
          <w:sz w:val="18"/>
        </w:rPr>
        <w:t>Biochem</w:t>
      </w:r>
      <w:proofErr w:type="spellEnd"/>
      <w:r>
        <w:rPr>
          <w:rFonts w:ascii="Times New Roman" w:eastAsia="等线" w:hAnsi="Times New Roman" w:cs="Times New Roman"/>
          <w:i/>
          <w:sz w:val="18"/>
        </w:rPr>
        <w:t xml:space="preserve">. </w:t>
      </w:r>
      <w:r>
        <w:rPr>
          <w:rFonts w:ascii="Times New Roman" w:eastAsia="等线" w:hAnsi="Times New Roman" w:cs="Times New Roman"/>
          <w:b/>
          <w:sz w:val="18"/>
        </w:rPr>
        <w:t>2025</w:t>
      </w:r>
      <w:r>
        <w:rPr>
          <w:rFonts w:ascii="Times New Roman" w:eastAsia="等线" w:hAnsi="Times New Roman" w:cs="Times New Roman"/>
          <w:i/>
          <w:sz w:val="18"/>
        </w:rPr>
        <w:t>, 706</w:t>
      </w:r>
      <w:r>
        <w:rPr>
          <w:rFonts w:ascii="Times New Roman" w:eastAsia="等线" w:hAnsi="Times New Roman" w:cs="Times New Roman"/>
          <w:sz w:val="18"/>
        </w:rPr>
        <w:t>,</w:t>
      </w:r>
      <w:r>
        <w:rPr>
          <w:rFonts w:ascii="Times New Roman" w:eastAsia="等线" w:hAnsi="Times New Roman" w:cs="Times New Roman" w:hint="eastAsia"/>
          <w:sz w:val="18"/>
        </w:rPr>
        <w:t xml:space="preserve"> </w:t>
      </w:r>
      <w:r>
        <w:rPr>
          <w:rFonts w:ascii="Times New Roman" w:eastAsia="等线" w:hAnsi="Times New Roman" w:cs="Times New Roman"/>
          <w:sz w:val="18"/>
        </w:rPr>
        <w:t xml:space="preserve">115948. </w:t>
      </w:r>
    </w:p>
    <w:p w14:paraId="73A46E5B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S7. </w:t>
      </w:r>
      <w:r>
        <w:rPr>
          <w:rFonts w:ascii="Times New Roman" w:eastAsia="等线" w:hAnsi="Times New Roman" w:cs="Times New Roman"/>
          <w:sz w:val="18"/>
        </w:rPr>
        <w:t xml:space="preserve">Chao, Q.; Zhao, J.; Li, J.; et al. ATP-accelerated DNA hexahedron nanoreactors: Spatially confined </w:t>
      </w:r>
      <w:proofErr w:type="spellStart"/>
      <w:r>
        <w:rPr>
          <w:rFonts w:ascii="Times New Roman" w:eastAsia="等线" w:hAnsi="Times New Roman" w:cs="Times New Roman"/>
          <w:sz w:val="18"/>
        </w:rPr>
        <w:t>DNAzyme</w:t>
      </w:r>
      <w:proofErr w:type="spellEnd"/>
      <w:r>
        <w:rPr>
          <w:rFonts w:ascii="Times New Roman" w:eastAsia="等线" w:hAnsi="Times New Roman" w:cs="Times New Roman"/>
          <w:sz w:val="18"/>
        </w:rPr>
        <w:t xml:space="preserve">-CHA cascaded amplification for ultrasensitive live-cell imaging of miR-21. </w:t>
      </w:r>
      <w:proofErr w:type="spellStart"/>
      <w:r>
        <w:rPr>
          <w:rFonts w:ascii="Times New Roman" w:eastAsia="等线" w:hAnsi="Times New Roman" w:cs="Times New Roman"/>
          <w:i/>
          <w:sz w:val="18"/>
        </w:rPr>
        <w:t>Biosens</w:t>
      </w:r>
      <w:proofErr w:type="spellEnd"/>
      <w:r>
        <w:rPr>
          <w:rFonts w:ascii="Times New Roman" w:eastAsia="等线" w:hAnsi="Times New Roman" w:cs="Times New Roman"/>
          <w:i/>
          <w:sz w:val="18"/>
        </w:rPr>
        <w:t xml:space="preserve">. </w:t>
      </w:r>
      <w:proofErr w:type="spellStart"/>
      <w:r>
        <w:rPr>
          <w:rFonts w:ascii="Times New Roman" w:eastAsia="等线" w:hAnsi="Times New Roman" w:cs="Times New Roman"/>
          <w:i/>
          <w:sz w:val="18"/>
        </w:rPr>
        <w:t>Bioelectron</w:t>
      </w:r>
      <w:proofErr w:type="spellEnd"/>
      <w:r>
        <w:rPr>
          <w:rFonts w:ascii="Times New Roman" w:eastAsia="等线" w:hAnsi="Times New Roman" w:cs="Times New Roman"/>
          <w:i/>
          <w:sz w:val="18"/>
        </w:rPr>
        <w:t xml:space="preserve">. </w:t>
      </w:r>
      <w:r>
        <w:rPr>
          <w:rFonts w:ascii="Times New Roman" w:eastAsia="等线" w:hAnsi="Times New Roman" w:cs="Times New Roman"/>
          <w:b/>
          <w:sz w:val="18"/>
        </w:rPr>
        <w:t>2025</w:t>
      </w:r>
      <w:r>
        <w:rPr>
          <w:rFonts w:ascii="Times New Roman" w:eastAsia="等线" w:hAnsi="Times New Roman" w:cs="Times New Roman"/>
          <w:i/>
          <w:sz w:val="18"/>
        </w:rPr>
        <w:t>, 289</w:t>
      </w:r>
      <w:r>
        <w:rPr>
          <w:rFonts w:ascii="Times New Roman" w:eastAsia="等线" w:hAnsi="Times New Roman" w:cs="Times New Roman"/>
          <w:sz w:val="18"/>
        </w:rPr>
        <w:t>, 117930.</w:t>
      </w:r>
    </w:p>
    <w:p w14:paraId="062A7C31" w14:textId="77777777" w:rsidR="00D71AEF" w:rsidRDefault="00000000">
      <w:pPr>
        <w:pStyle w:val="ab"/>
        <w:widowControl/>
        <w:adjustRightInd w:val="0"/>
        <w:snapToGrid w:val="0"/>
        <w:spacing w:line="260" w:lineRule="atLeast"/>
        <w:ind w:left="360" w:hangingChars="200" w:hanging="360"/>
        <w:contextualSpacing w:val="0"/>
        <w:rPr>
          <w:rFonts w:ascii="Times New Roman" w:eastAsia="等线" w:hAnsi="Times New Roman" w:cs="Times New Roman"/>
          <w:sz w:val="18"/>
        </w:rPr>
      </w:pPr>
      <w:r>
        <w:rPr>
          <w:rFonts w:ascii="Times New Roman" w:eastAsia="等线" w:hAnsi="Times New Roman" w:cs="Times New Roman" w:hint="eastAsia"/>
          <w:sz w:val="18"/>
        </w:rPr>
        <w:t xml:space="preserve">S8. </w:t>
      </w:r>
      <w:r>
        <w:rPr>
          <w:rFonts w:ascii="Times New Roman" w:eastAsia="等线" w:hAnsi="Times New Roman" w:cs="Times New Roman"/>
          <w:sz w:val="18"/>
        </w:rPr>
        <w:t xml:space="preserve">Huang, X.; Li, Z.; Tong, Y.; et al. </w:t>
      </w:r>
      <w:proofErr w:type="spellStart"/>
      <w:r>
        <w:rPr>
          <w:rFonts w:ascii="Times New Roman" w:eastAsia="等线" w:hAnsi="Times New Roman" w:cs="Times New Roman"/>
          <w:sz w:val="18"/>
        </w:rPr>
        <w:t>DNAzyme</w:t>
      </w:r>
      <w:proofErr w:type="spellEnd"/>
      <w:r>
        <w:rPr>
          <w:rFonts w:ascii="Times New Roman" w:eastAsia="等线" w:hAnsi="Times New Roman" w:cs="Times New Roman"/>
          <w:sz w:val="18"/>
        </w:rPr>
        <w:t xml:space="preserve">-amplified cascade catalytic hairpin assembly </w:t>
      </w:r>
      <w:proofErr w:type="spellStart"/>
      <w:r>
        <w:rPr>
          <w:rFonts w:ascii="Times New Roman" w:eastAsia="等线" w:hAnsi="Times New Roman" w:cs="Times New Roman"/>
          <w:sz w:val="18"/>
        </w:rPr>
        <w:t>nanosystem</w:t>
      </w:r>
      <w:proofErr w:type="spellEnd"/>
      <w:r>
        <w:rPr>
          <w:rFonts w:ascii="Times New Roman" w:eastAsia="等线" w:hAnsi="Times New Roman" w:cs="Times New Roman"/>
          <w:sz w:val="18"/>
        </w:rPr>
        <w:t xml:space="preserve"> for sensitive microRNA imaging in living cells. </w:t>
      </w:r>
      <w:r>
        <w:rPr>
          <w:rFonts w:ascii="Times New Roman" w:eastAsia="等线" w:hAnsi="Times New Roman" w:cs="Times New Roman"/>
          <w:i/>
          <w:sz w:val="18"/>
        </w:rPr>
        <w:t xml:space="preserve">Anal. Chem. </w:t>
      </w:r>
      <w:r>
        <w:rPr>
          <w:rFonts w:ascii="Times New Roman" w:eastAsia="等线" w:hAnsi="Times New Roman" w:cs="Times New Roman"/>
          <w:b/>
          <w:sz w:val="18"/>
        </w:rPr>
        <w:t>2023</w:t>
      </w:r>
      <w:r>
        <w:rPr>
          <w:rFonts w:ascii="Times New Roman" w:eastAsia="等线" w:hAnsi="Times New Roman" w:cs="Times New Roman"/>
          <w:i/>
          <w:sz w:val="18"/>
        </w:rPr>
        <w:t>, 95</w:t>
      </w:r>
      <w:r>
        <w:rPr>
          <w:rFonts w:ascii="Times New Roman" w:eastAsia="等线" w:hAnsi="Times New Roman" w:cs="Times New Roman"/>
          <w:sz w:val="18"/>
        </w:rPr>
        <w:t>, 11793–11799.</w:t>
      </w:r>
    </w:p>
    <w:sectPr w:rsidR="00D71AEF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51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dlOWVjMGY1ZjgwYzg1NGI1MzBlYjRlYzQ5NDNmOTYifQ=="/>
  </w:docVars>
  <w:rsids>
    <w:rsidRoot w:val="0046578C"/>
    <w:rsid w:val="00043146"/>
    <w:rsid w:val="00045802"/>
    <w:rsid w:val="00071D9E"/>
    <w:rsid w:val="00081736"/>
    <w:rsid w:val="000E1C61"/>
    <w:rsid w:val="00154016"/>
    <w:rsid w:val="002732D8"/>
    <w:rsid w:val="002A089E"/>
    <w:rsid w:val="002F2972"/>
    <w:rsid w:val="002F5035"/>
    <w:rsid w:val="003907DE"/>
    <w:rsid w:val="003B1C11"/>
    <w:rsid w:val="00410B40"/>
    <w:rsid w:val="0046578C"/>
    <w:rsid w:val="00482A42"/>
    <w:rsid w:val="004D66EC"/>
    <w:rsid w:val="005258A5"/>
    <w:rsid w:val="005272D3"/>
    <w:rsid w:val="006033C5"/>
    <w:rsid w:val="006050C9"/>
    <w:rsid w:val="007D17A1"/>
    <w:rsid w:val="008148C0"/>
    <w:rsid w:val="008617B5"/>
    <w:rsid w:val="009879AE"/>
    <w:rsid w:val="00A24428"/>
    <w:rsid w:val="00A71C89"/>
    <w:rsid w:val="00B05CB4"/>
    <w:rsid w:val="00BE010F"/>
    <w:rsid w:val="00D67121"/>
    <w:rsid w:val="00D71AEF"/>
    <w:rsid w:val="00E148BF"/>
    <w:rsid w:val="00EA25B4"/>
    <w:rsid w:val="00F03EE3"/>
    <w:rsid w:val="00F62C48"/>
    <w:rsid w:val="02355D79"/>
    <w:rsid w:val="023B0973"/>
    <w:rsid w:val="04BA7570"/>
    <w:rsid w:val="066070B9"/>
    <w:rsid w:val="079F3753"/>
    <w:rsid w:val="090F65F1"/>
    <w:rsid w:val="0CCA3020"/>
    <w:rsid w:val="0D385A74"/>
    <w:rsid w:val="0D815DD4"/>
    <w:rsid w:val="0DCD1019"/>
    <w:rsid w:val="0F234C69"/>
    <w:rsid w:val="11D01FF6"/>
    <w:rsid w:val="12881802"/>
    <w:rsid w:val="1399374C"/>
    <w:rsid w:val="16221A36"/>
    <w:rsid w:val="187A7FF0"/>
    <w:rsid w:val="188624F1"/>
    <w:rsid w:val="18DF60A5"/>
    <w:rsid w:val="1A3F5103"/>
    <w:rsid w:val="1A693E78"/>
    <w:rsid w:val="1B285AE1"/>
    <w:rsid w:val="1B7C7BDB"/>
    <w:rsid w:val="1CA05B4B"/>
    <w:rsid w:val="1DCA10D2"/>
    <w:rsid w:val="1F4C5B16"/>
    <w:rsid w:val="1FF51FFE"/>
    <w:rsid w:val="211C346C"/>
    <w:rsid w:val="2159344E"/>
    <w:rsid w:val="221A1EFC"/>
    <w:rsid w:val="231F6710"/>
    <w:rsid w:val="242E1C8E"/>
    <w:rsid w:val="26972DEC"/>
    <w:rsid w:val="26A97116"/>
    <w:rsid w:val="278949AE"/>
    <w:rsid w:val="28B00772"/>
    <w:rsid w:val="2A737A93"/>
    <w:rsid w:val="2C0C4FAB"/>
    <w:rsid w:val="2D5664DE"/>
    <w:rsid w:val="2D744BB6"/>
    <w:rsid w:val="2FE83639"/>
    <w:rsid w:val="34126ED7"/>
    <w:rsid w:val="34EE7D7A"/>
    <w:rsid w:val="35814644"/>
    <w:rsid w:val="368C04C2"/>
    <w:rsid w:val="36CA3A99"/>
    <w:rsid w:val="386F48F8"/>
    <w:rsid w:val="3A4F678F"/>
    <w:rsid w:val="3C5B3E73"/>
    <w:rsid w:val="3CFD0FBF"/>
    <w:rsid w:val="3DB01C3A"/>
    <w:rsid w:val="3E933D20"/>
    <w:rsid w:val="3ED731F7"/>
    <w:rsid w:val="3EFB4269"/>
    <w:rsid w:val="40CE6F7E"/>
    <w:rsid w:val="44704774"/>
    <w:rsid w:val="454B2248"/>
    <w:rsid w:val="45F4468E"/>
    <w:rsid w:val="460D5750"/>
    <w:rsid w:val="46674E60"/>
    <w:rsid w:val="48592ECE"/>
    <w:rsid w:val="48853C17"/>
    <w:rsid w:val="49427556"/>
    <w:rsid w:val="4A0955D0"/>
    <w:rsid w:val="4A8975C9"/>
    <w:rsid w:val="4C2E7AAA"/>
    <w:rsid w:val="4DAF78C8"/>
    <w:rsid w:val="4E6C395B"/>
    <w:rsid w:val="4E8A5B90"/>
    <w:rsid w:val="4F1D6818"/>
    <w:rsid w:val="4F5368C9"/>
    <w:rsid w:val="4F7F321A"/>
    <w:rsid w:val="4FD95B4B"/>
    <w:rsid w:val="50AC6EF8"/>
    <w:rsid w:val="536C7F5A"/>
    <w:rsid w:val="558F13D5"/>
    <w:rsid w:val="55F10348"/>
    <w:rsid w:val="580764A3"/>
    <w:rsid w:val="593053F0"/>
    <w:rsid w:val="5A1804F3"/>
    <w:rsid w:val="5C7B2FBB"/>
    <w:rsid w:val="5D3452A8"/>
    <w:rsid w:val="5F2E6DF7"/>
    <w:rsid w:val="5F377644"/>
    <w:rsid w:val="5F5D2E4C"/>
    <w:rsid w:val="60597AB8"/>
    <w:rsid w:val="61DF3FED"/>
    <w:rsid w:val="62CD7083"/>
    <w:rsid w:val="637D3ABD"/>
    <w:rsid w:val="642A5AA9"/>
    <w:rsid w:val="65332685"/>
    <w:rsid w:val="65C94D98"/>
    <w:rsid w:val="6679056C"/>
    <w:rsid w:val="673A0CFE"/>
    <w:rsid w:val="6861299F"/>
    <w:rsid w:val="68D20407"/>
    <w:rsid w:val="69EA418E"/>
    <w:rsid w:val="6A997EEB"/>
    <w:rsid w:val="6B4C44A1"/>
    <w:rsid w:val="6C6B2E3B"/>
    <w:rsid w:val="6C7000C6"/>
    <w:rsid w:val="6D64714E"/>
    <w:rsid w:val="730930D7"/>
    <w:rsid w:val="73FC27DC"/>
    <w:rsid w:val="74561EEC"/>
    <w:rsid w:val="74E7348C"/>
    <w:rsid w:val="75644ADD"/>
    <w:rsid w:val="768C7E47"/>
    <w:rsid w:val="769B62DC"/>
    <w:rsid w:val="76E732D0"/>
    <w:rsid w:val="77113345"/>
    <w:rsid w:val="790A14F7"/>
    <w:rsid w:val="79E10DC9"/>
    <w:rsid w:val="79ED6E4F"/>
    <w:rsid w:val="7A921144"/>
    <w:rsid w:val="7BAB6FC2"/>
    <w:rsid w:val="7BBB1642"/>
    <w:rsid w:val="7C3022DB"/>
    <w:rsid w:val="7C833A9B"/>
    <w:rsid w:val="7CA57EB5"/>
    <w:rsid w:val="7D0736E5"/>
    <w:rsid w:val="7D086355"/>
    <w:rsid w:val="7D19157D"/>
    <w:rsid w:val="7D715FE9"/>
    <w:rsid w:val="7DEB18F7"/>
    <w:rsid w:val="7F3D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6CE033-A8ED-4D80-B167-EC57914F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autoRedefine/>
    <w:qFormat/>
  </w:style>
  <w:style w:type="paragraph" w:styleId="TOC2">
    <w:name w:val="toc 2"/>
    <w:basedOn w:val="a"/>
    <w:next w:val="a"/>
    <w:autoRedefine/>
    <w:qFormat/>
  </w:style>
  <w:style w:type="paragraph" w:styleId="a7">
    <w:name w:val="annotation subject"/>
    <w:basedOn w:val="a3"/>
    <w:next w:val="a3"/>
    <w:link w:val="a8"/>
    <w:rPr>
      <w:b/>
      <w:bCs/>
    </w:rPr>
  </w:style>
  <w:style w:type="table" w:styleId="a9">
    <w:name w:val="Table Grid"/>
    <w:basedOn w:val="a1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rPr>
      <w:sz w:val="21"/>
      <w:szCs w:val="21"/>
    </w:rPr>
  </w:style>
  <w:style w:type="table" w:customStyle="1" w:styleId="PlainTable21">
    <w:name w:val="Plain Table 21"/>
    <w:autoRedefine/>
    <w:uiPriority w:val="42"/>
    <w:qFormat/>
    <w:tblPr>
      <w:tblBorders>
        <w:top w:val="single" w:sz="4" w:space="0" w:color="7E7E7E"/>
        <w:bottom w:val="single" w:sz="12" w:space="0" w:color="7E7E7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wordWrap/>
        <w:spacing w:line="360" w:lineRule="exact"/>
        <w:jc w:val="center"/>
      </w:pPr>
      <w:rPr>
        <w:rFonts w:eastAsia="Times New Roman"/>
        <w:b/>
        <w:bCs/>
      </w:rPr>
      <w:tblPr/>
      <w:tcPr>
        <w:tcBorders>
          <w:top w:val="single" w:sz="4" w:space="0" w:color="7E7E7E"/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table" w:customStyle="1" w:styleId="21">
    <w:name w:val="无格式表格 21"/>
    <w:autoRedefine/>
    <w:uiPriority w:val="42"/>
    <w:qFormat/>
    <w:tblPr>
      <w:tblBorders>
        <w:top w:val="single" w:sz="4" w:space="0" w:color="7E7E7E"/>
        <w:bottom w:val="single" w:sz="12" w:space="0" w:color="7E7E7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wordWrap/>
        <w:spacing w:line="360" w:lineRule="exact"/>
        <w:jc w:val="center"/>
      </w:pPr>
      <w:rPr>
        <w:rFonts w:eastAsia="Times New Roman"/>
        <w:b/>
        <w:bCs/>
      </w:rPr>
      <w:tblPr/>
      <w:tcPr>
        <w:tcBorders>
          <w:top w:val="single" w:sz="4" w:space="0" w:color="7E7E7E"/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List Paragraph"/>
    <w:basedOn w:val="a"/>
    <w:uiPriority w:val="99"/>
    <w:unhideWhenUsed/>
    <w:pPr>
      <w:ind w:left="720"/>
      <w:contextualSpacing/>
    </w:pPr>
  </w:style>
  <w:style w:type="paragraph" w:customStyle="1" w:styleId="Scilight21heading1">
    <w:name w:val="Scilight_2.1_heading1"/>
    <w:qFormat/>
    <w:pPr>
      <w:adjustRightInd w:val="0"/>
      <w:snapToGrid w:val="0"/>
      <w:spacing w:before="240" w:after="120" w:line="260" w:lineRule="atLeast"/>
      <w:outlineLvl w:val="0"/>
    </w:pPr>
    <w:rPr>
      <w:rFonts w:eastAsia="Times New Roman"/>
      <w:b/>
      <w:snapToGrid w:val="0"/>
      <w:color w:val="000000"/>
      <w:lang w:eastAsia="de-DE" w:bidi="en-US"/>
      <w14:ligatures w14:val="standardContextual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customStyle="1" w:styleId="a8">
    <w:name w:val="批注主题 字符"/>
    <w:basedOn w:val="a4"/>
    <w:link w:val="a7"/>
    <w:rPr>
      <w:rFonts w:asciiTheme="minorHAnsi" w:eastAsiaTheme="minorEastAsia" w:hAnsiTheme="minorHAnsi" w:cstheme="minorBidi"/>
      <w:b/>
      <w:bCs/>
      <w:kern w:val="2"/>
      <w:sz w:val="21"/>
      <w:szCs w:val="22"/>
      <w:lang w:val="en-US"/>
    </w:rPr>
  </w:style>
  <w:style w:type="paragraph" w:customStyle="1" w:styleId="2">
    <w:name w:val="修订2"/>
    <w:autoRedefine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2077</Words>
  <Characters>12240</Characters>
  <Application>Microsoft Office Word</Application>
  <DocSecurity>0</DocSecurity>
  <Lines>306</Lines>
  <Paragraphs>178</Paragraphs>
  <ScaleCrop>false</ScaleCrop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shayu</dc:creator>
  <cp:lastModifiedBy>Lani He</cp:lastModifiedBy>
  <cp:revision>24</cp:revision>
  <dcterms:created xsi:type="dcterms:W3CDTF">2026-05-21T07:18:00Z</dcterms:created>
  <dcterms:modified xsi:type="dcterms:W3CDTF">2026-08-28T07:01:00Z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534AF999A33947CFAADB8D4DE3AE2405_13</vt:lpwstr>
  </property>
  <property fmtid="{D5CDD505-2E9C-101B-9397-08002B2CF9AE}" pid="4" name="KSOTemplateDocerSaveRecord">
    <vt:lpwstr>eyJoZGlkIjoiZmFmZmE3ZDQxYjQ2YzllNGZmOGQ5YWNlZjYzYTViNzQiLCJ1c2VySWQiOiIxNzI1NjQ1MzIxIn0=</vt:lpwstr>
  </property>
  <property fmtid="{D5CDD505-2E9C-101B-9397-08002B2CF9AE}" pid="5" name="GrammarlyDocumentId">
    <vt:lpwstr>c6ca4fbb-bdf3-4a29-bd4d-a349bfea952a</vt:lpwstr>
  </property>
</Properties>
</file>